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2A44" w:rsidRPr="007C6DCB" w:rsidRDefault="006C2A44" w:rsidP="006C2A44">
      <w:pPr>
        <w:pStyle w:val="NoSpacing"/>
        <w:spacing w:after="240" w:line="360" w:lineRule="auto"/>
        <w:jc w:val="center"/>
        <w:rPr>
          <w:rFonts w:ascii="Verdana" w:hAnsi="Verdana"/>
          <w:b/>
          <w:sz w:val="20"/>
          <w:szCs w:val="20"/>
        </w:rPr>
      </w:pPr>
      <w:r w:rsidRPr="007C6DCB">
        <w:rPr>
          <w:rFonts w:ascii="Verdana" w:hAnsi="Verdana"/>
          <w:b/>
          <w:sz w:val="20"/>
          <w:szCs w:val="20"/>
        </w:rPr>
        <w:t>ТЕХНИЧЕСКА СПЕЦИФИКАЦИЯ</w:t>
      </w:r>
    </w:p>
    <w:p w:rsidR="006C2A44" w:rsidRPr="007C6DCB" w:rsidRDefault="006C2A44" w:rsidP="006C2A44">
      <w:pPr>
        <w:pStyle w:val="NoSpacing"/>
        <w:spacing w:line="360" w:lineRule="auto"/>
        <w:jc w:val="center"/>
        <w:rPr>
          <w:rFonts w:ascii="Verdana" w:hAnsi="Verdana"/>
          <w:b/>
          <w:sz w:val="20"/>
          <w:szCs w:val="20"/>
        </w:rPr>
      </w:pPr>
      <w:r w:rsidRPr="007C6DCB">
        <w:rPr>
          <w:rFonts w:ascii="Verdana" w:hAnsi="Verdana"/>
          <w:sz w:val="20"/>
          <w:szCs w:val="20"/>
        </w:rPr>
        <w:t xml:space="preserve">за възлагане на обществена поръчка с предмет: </w:t>
      </w:r>
      <w:r w:rsidRPr="007C6DCB">
        <w:rPr>
          <w:rFonts w:ascii="Verdana" w:hAnsi="Verdana"/>
          <w:b/>
          <w:sz w:val="20"/>
          <w:szCs w:val="20"/>
        </w:rPr>
        <w:t>„Финансово-икономически и производствен анализ на концесия „Челопеч“</w:t>
      </w:r>
    </w:p>
    <w:p w:rsidR="006C2A44" w:rsidRDefault="006C2A44" w:rsidP="006C2A44">
      <w:pPr>
        <w:pStyle w:val="NoSpacing"/>
        <w:spacing w:line="360" w:lineRule="auto"/>
        <w:jc w:val="center"/>
        <w:rPr>
          <w:rFonts w:ascii="Verdana" w:hAnsi="Verdana"/>
          <w:b/>
          <w:sz w:val="20"/>
          <w:szCs w:val="20"/>
        </w:rPr>
      </w:pPr>
    </w:p>
    <w:p w:rsidR="006C2A44" w:rsidRPr="00312A9A" w:rsidRDefault="006C2A44" w:rsidP="006C2A44">
      <w:pPr>
        <w:pStyle w:val="NoSpacing"/>
        <w:numPr>
          <w:ilvl w:val="0"/>
          <w:numId w:val="1"/>
        </w:numPr>
        <w:spacing w:after="120" w:line="360" w:lineRule="auto"/>
        <w:ind w:left="1134" w:hanging="425"/>
        <w:jc w:val="both"/>
        <w:rPr>
          <w:rFonts w:ascii="Verdana" w:hAnsi="Verdana"/>
          <w:b/>
          <w:color w:val="000000" w:themeColor="text1"/>
          <w:sz w:val="20"/>
          <w:szCs w:val="20"/>
        </w:rPr>
      </w:pPr>
      <w:r w:rsidRPr="00312A9A">
        <w:rPr>
          <w:rFonts w:ascii="Verdana" w:hAnsi="Verdana"/>
          <w:b/>
          <w:color w:val="000000" w:themeColor="text1"/>
          <w:sz w:val="20"/>
          <w:szCs w:val="20"/>
        </w:rPr>
        <w:t xml:space="preserve">ОБЩА ИНФОРМАЦИЯ </w:t>
      </w:r>
    </w:p>
    <w:p w:rsidR="006C2A44" w:rsidRPr="00312A9A" w:rsidRDefault="006C2A44" w:rsidP="006C2A44">
      <w:pPr>
        <w:pStyle w:val="NoSpacing"/>
        <w:spacing w:after="240" w:line="360" w:lineRule="auto"/>
        <w:ind w:firstLine="709"/>
        <w:jc w:val="both"/>
        <w:rPr>
          <w:rFonts w:ascii="Verdana" w:hAnsi="Verdana"/>
          <w:color w:val="000000" w:themeColor="text1"/>
          <w:sz w:val="20"/>
          <w:szCs w:val="20"/>
        </w:rPr>
      </w:pPr>
      <w:r w:rsidRPr="00312A9A">
        <w:rPr>
          <w:rFonts w:ascii="Verdana" w:hAnsi="Verdana"/>
          <w:color w:val="000000" w:themeColor="text1"/>
          <w:sz w:val="20"/>
          <w:szCs w:val="20"/>
        </w:rPr>
        <w:t xml:space="preserve">Настоящата обществена поръчка се възлага вследствие на дадена от Сметната палата препоръка на министъра на енергетиката </w:t>
      </w:r>
      <w:r w:rsidR="000F627C">
        <w:rPr>
          <w:rFonts w:ascii="Verdana" w:hAnsi="Verdana"/>
          <w:color w:val="000000" w:themeColor="text1"/>
          <w:sz w:val="20"/>
          <w:szCs w:val="20"/>
        </w:rPr>
        <w:t>„Д</w:t>
      </w:r>
      <w:r w:rsidRPr="00312A9A">
        <w:rPr>
          <w:rFonts w:ascii="Verdana" w:hAnsi="Verdana"/>
          <w:color w:val="000000" w:themeColor="text1"/>
          <w:sz w:val="20"/>
          <w:szCs w:val="20"/>
        </w:rPr>
        <w:t xml:space="preserve">а се разработи </w:t>
      </w:r>
      <w:r w:rsidR="000F627C">
        <w:rPr>
          <w:rFonts w:ascii="Verdana" w:hAnsi="Verdana"/>
          <w:color w:val="000000" w:themeColor="text1"/>
          <w:sz w:val="20"/>
          <w:szCs w:val="20"/>
        </w:rPr>
        <w:t>ф</w:t>
      </w:r>
      <w:r w:rsidRPr="00312A9A">
        <w:rPr>
          <w:rFonts w:ascii="Verdana" w:hAnsi="Verdana"/>
          <w:color w:val="000000" w:themeColor="text1"/>
          <w:sz w:val="20"/>
          <w:szCs w:val="20"/>
        </w:rPr>
        <w:t>инансово-икономически анализ на предоставена концесия за добив на подземни природни богатства</w:t>
      </w:r>
      <w:r w:rsidRPr="00312A9A">
        <w:rPr>
          <w:rFonts w:ascii="Verdana" w:hAnsi="Verdana"/>
          <w:color w:val="000000" w:themeColor="text1"/>
          <w:sz w:val="20"/>
          <w:szCs w:val="20"/>
          <w:lang w:val="en-US"/>
        </w:rPr>
        <w:t xml:space="preserve"> </w:t>
      </w:r>
      <w:r w:rsidRPr="00312A9A">
        <w:rPr>
          <w:rFonts w:ascii="Verdana" w:hAnsi="Verdana"/>
          <w:color w:val="000000" w:themeColor="text1"/>
          <w:sz w:val="20"/>
          <w:szCs w:val="20"/>
        </w:rPr>
        <w:t>от находище „Челопеч“</w:t>
      </w:r>
      <w:r w:rsidR="000F627C">
        <w:rPr>
          <w:rFonts w:ascii="Verdana" w:hAnsi="Verdana"/>
          <w:color w:val="000000" w:themeColor="text1"/>
          <w:sz w:val="20"/>
          <w:szCs w:val="20"/>
        </w:rPr>
        <w:t>,</w:t>
      </w:r>
      <w:r w:rsidRPr="00312A9A">
        <w:rPr>
          <w:rFonts w:ascii="Verdana" w:hAnsi="Verdana"/>
          <w:color w:val="000000" w:themeColor="text1"/>
          <w:sz w:val="20"/>
          <w:szCs w:val="20"/>
        </w:rPr>
        <w:t xml:space="preserve"> и да се предприемат действия за постигане на икономически баланс между ползите и рисковете за държавата и концесионера“. Препоръката е резултат на направени констатации и изводи в „</w:t>
      </w:r>
      <w:proofErr w:type="spellStart"/>
      <w:r w:rsidRPr="00312A9A">
        <w:rPr>
          <w:rFonts w:ascii="Verdana" w:hAnsi="Verdana"/>
          <w:color w:val="000000" w:themeColor="text1"/>
          <w:sz w:val="20"/>
          <w:szCs w:val="20"/>
        </w:rPr>
        <w:t>Одитен</w:t>
      </w:r>
      <w:proofErr w:type="spellEnd"/>
      <w:r w:rsidRPr="00312A9A">
        <w:rPr>
          <w:rFonts w:ascii="Verdana" w:hAnsi="Verdana"/>
          <w:color w:val="000000" w:themeColor="text1"/>
          <w:sz w:val="20"/>
          <w:szCs w:val="20"/>
        </w:rPr>
        <w:t xml:space="preserve"> доклад № 0400001414 за извършен одит на договор за предоставяне на концесия за подземни богатства – </w:t>
      </w:r>
      <w:proofErr w:type="spellStart"/>
      <w:r w:rsidRPr="00312A9A">
        <w:rPr>
          <w:rFonts w:ascii="Verdana" w:hAnsi="Verdana"/>
          <w:color w:val="000000" w:themeColor="text1"/>
          <w:sz w:val="20"/>
          <w:szCs w:val="20"/>
        </w:rPr>
        <w:t>златно-медно-пиритни</w:t>
      </w:r>
      <w:proofErr w:type="spellEnd"/>
      <w:r w:rsidRPr="00312A9A">
        <w:rPr>
          <w:rFonts w:ascii="Verdana" w:hAnsi="Verdana"/>
          <w:color w:val="000000" w:themeColor="text1"/>
          <w:sz w:val="20"/>
          <w:szCs w:val="20"/>
        </w:rPr>
        <w:t xml:space="preserve"> руди чрез добив от находище „Челопеч“ – Софийска област, предоставена на „</w:t>
      </w:r>
      <w:proofErr w:type="spellStart"/>
      <w:r w:rsidRPr="00312A9A">
        <w:rPr>
          <w:rFonts w:ascii="Verdana" w:hAnsi="Verdana"/>
          <w:color w:val="000000" w:themeColor="text1"/>
          <w:sz w:val="20"/>
          <w:szCs w:val="20"/>
        </w:rPr>
        <w:t>Дънди</w:t>
      </w:r>
      <w:proofErr w:type="spellEnd"/>
      <w:r w:rsidRPr="00312A9A">
        <w:rPr>
          <w:rFonts w:ascii="Verdana" w:hAnsi="Verdana"/>
          <w:color w:val="000000" w:themeColor="text1"/>
          <w:sz w:val="20"/>
          <w:szCs w:val="20"/>
        </w:rPr>
        <w:t xml:space="preserve"> </w:t>
      </w:r>
      <w:proofErr w:type="spellStart"/>
      <w:r w:rsidRPr="00312A9A">
        <w:rPr>
          <w:rFonts w:ascii="Verdana" w:hAnsi="Verdana"/>
          <w:color w:val="000000" w:themeColor="text1"/>
          <w:sz w:val="20"/>
          <w:szCs w:val="20"/>
        </w:rPr>
        <w:t>Прешъс</w:t>
      </w:r>
      <w:proofErr w:type="spellEnd"/>
      <w:r w:rsidRPr="00312A9A">
        <w:rPr>
          <w:rFonts w:ascii="Verdana" w:hAnsi="Verdana"/>
          <w:color w:val="000000" w:themeColor="text1"/>
          <w:sz w:val="20"/>
          <w:szCs w:val="20"/>
        </w:rPr>
        <w:t xml:space="preserve"> </w:t>
      </w:r>
      <w:proofErr w:type="spellStart"/>
      <w:r w:rsidRPr="00312A9A">
        <w:rPr>
          <w:rFonts w:ascii="Verdana" w:hAnsi="Verdana"/>
          <w:color w:val="000000" w:themeColor="text1"/>
          <w:sz w:val="20"/>
          <w:szCs w:val="20"/>
        </w:rPr>
        <w:t>Металс</w:t>
      </w:r>
      <w:proofErr w:type="spellEnd"/>
      <w:r w:rsidRPr="00312A9A">
        <w:rPr>
          <w:rFonts w:ascii="Verdana" w:hAnsi="Verdana"/>
          <w:color w:val="000000" w:themeColor="text1"/>
          <w:sz w:val="20"/>
          <w:szCs w:val="20"/>
        </w:rPr>
        <w:t xml:space="preserve"> Челопеч“ ЕАД, за периода от 01.</w:t>
      </w:r>
      <w:proofErr w:type="spellStart"/>
      <w:r w:rsidRPr="00312A9A">
        <w:rPr>
          <w:rFonts w:ascii="Verdana" w:hAnsi="Verdana"/>
          <w:color w:val="000000" w:themeColor="text1"/>
          <w:sz w:val="20"/>
          <w:szCs w:val="20"/>
        </w:rPr>
        <w:t>01</w:t>
      </w:r>
      <w:proofErr w:type="spellEnd"/>
      <w:r w:rsidRPr="00312A9A">
        <w:rPr>
          <w:rFonts w:ascii="Verdana" w:hAnsi="Verdana"/>
          <w:color w:val="000000" w:themeColor="text1"/>
          <w:sz w:val="20"/>
          <w:szCs w:val="20"/>
        </w:rPr>
        <w:t>.2011 г. до 31.12.2013 г.“.</w:t>
      </w:r>
    </w:p>
    <w:p w:rsidR="00312A9A" w:rsidRDefault="00312A9A" w:rsidP="00312A9A">
      <w:pPr>
        <w:pStyle w:val="NoSpacing"/>
        <w:numPr>
          <w:ilvl w:val="0"/>
          <w:numId w:val="1"/>
        </w:numPr>
        <w:spacing w:after="120" w:line="360" w:lineRule="auto"/>
        <w:ind w:left="1134" w:hanging="425"/>
        <w:jc w:val="both"/>
        <w:rPr>
          <w:rFonts w:ascii="Verdana" w:hAnsi="Verdana"/>
          <w:b/>
          <w:sz w:val="20"/>
          <w:szCs w:val="20"/>
        </w:rPr>
      </w:pPr>
      <w:r w:rsidRPr="0098471B">
        <w:rPr>
          <w:rFonts w:ascii="Verdana" w:hAnsi="Verdana"/>
          <w:b/>
          <w:sz w:val="20"/>
          <w:szCs w:val="20"/>
        </w:rPr>
        <w:t xml:space="preserve">СЪЩЕСТВУВАЩО ПОЛОЖЕНИЕ </w:t>
      </w:r>
    </w:p>
    <w:p w:rsidR="00312A9A" w:rsidRPr="008F719D" w:rsidRDefault="00312A9A" w:rsidP="00312A9A">
      <w:pPr>
        <w:pStyle w:val="NoSpacing"/>
        <w:spacing w:after="120" w:line="360" w:lineRule="auto"/>
        <w:ind w:firstLine="708"/>
        <w:jc w:val="both"/>
        <w:rPr>
          <w:rFonts w:ascii="Verdana" w:hAnsi="Verdana"/>
          <w:b/>
          <w:sz w:val="20"/>
          <w:szCs w:val="20"/>
          <w:u w:val="single"/>
        </w:rPr>
      </w:pPr>
      <w:r w:rsidRPr="008F719D">
        <w:rPr>
          <w:rFonts w:ascii="Verdana" w:hAnsi="Verdana"/>
          <w:b/>
          <w:sz w:val="20"/>
          <w:szCs w:val="20"/>
          <w:u w:val="single"/>
        </w:rPr>
        <w:t>РУДНИК</w:t>
      </w:r>
      <w:r>
        <w:rPr>
          <w:rFonts w:ascii="Verdana" w:hAnsi="Verdana"/>
          <w:b/>
          <w:sz w:val="20"/>
          <w:szCs w:val="20"/>
          <w:u w:val="single"/>
        </w:rPr>
        <w:t xml:space="preserve"> „ЧЕЛОПЕЧ“</w:t>
      </w:r>
    </w:p>
    <w:p w:rsidR="00312A9A" w:rsidRPr="00312A9A" w:rsidRDefault="00312A9A" w:rsidP="00312A9A">
      <w:pPr>
        <w:pStyle w:val="NoSpacing"/>
        <w:spacing w:line="360" w:lineRule="auto"/>
        <w:ind w:firstLine="708"/>
        <w:jc w:val="both"/>
        <w:rPr>
          <w:rFonts w:ascii="Verdana" w:hAnsi="Verdana"/>
          <w:color w:val="000000" w:themeColor="text1"/>
          <w:sz w:val="20"/>
          <w:szCs w:val="20"/>
        </w:rPr>
      </w:pPr>
      <w:r w:rsidRPr="00312A9A">
        <w:rPr>
          <w:rFonts w:ascii="Verdana" w:hAnsi="Verdana"/>
          <w:color w:val="000000" w:themeColor="text1"/>
          <w:sz w:val="20"/>
          <w:szCs w:val="20"/>
        </w:rPr>
        <w:t>Находище „Челопеч“ се намира в Софийска област, край с. Челопеч, на 75 км източно от гр. София</w:t>
      </w:r>
      <w:r w:rsidRPr="00312A9A">
        <w:rPr>
          <w:rFonts w:ascii="Verdana" w:hAnsi="Verdana"/>
          <w:color w:val="000000" w:themeColor="text1"/>
          <w:sz w:val="20"/>
          <w:szCs w:val="20"/>
          <w:lang w:val="en-US"/>
        </w:rPr>
        <w:t>.</w:t>
      </w:r>
      <w:r w:rsidRPr="00312A9A">
        <w:rPr>
          <w:rFonts w:ascii="Verdana" w:hAnsi="Verdana"/>
          <w:color w:val="000000" w:themeColor="text1"/>
          <w:sz w:val="20"/>
          <w:szCs w:val="20"/>
        </w:rPr>
        <w:t xml:space="preserve"> Разкрито е с четири вертикални шахти (Капитална, Запад, Изток и Север) и две наклонени изработки (Надежда и Вяра). По нива, до рудните зони се достига с хоризонтални и наклонени изработки. </w:t>
      </w:r>
    </w:p>
    <w:p w:rsidR="00312A9A" w:rsidRPr="00312A9A" w:rsidRDefault="00312A9A" w:rsidP="00312A9A">
      <w:pPr>
        <w:pStyle w:val="NoSpacing"/>
        <w:spacing w:line="360" w:lineRule="auto"/>
        <w:ind w:firstLine="708"/>
        <w:jc w:val="both"/>
        <w:rPr>
          <w:rFonts w:ascii="Verdana" w:hAnsi="Verdana"/>
          <w:color w:val="000000" w:themeColor="text1"/>
          <w:sz w:val="20"/>
          <w:szCs w:val="20"/>
        </w:rPr>
      </w:pPr>
      <w:r w:rsidRPr="00312A9A">
        <w:rPr>
          <w:rFonts w:ascii="Verdana" w:hAnsi="Verdana"/>
          <w:color w:val="000000" w:themeColor="text1"/>
          <w:sz w:val="20"/>
          <w:szCs w:val="20"/>
        </w:rPr>
        <w:t xml:space="preserve">До 2005 г. добивът на руда се осъществява чрез система на разработване с </w:t>
      </w:r>
      <w:proofErr w:type="spellStart"/>
      <w:r w:rsidRPr="00312A9A">
        <w:rPr>
          <w:rFonts w:ascii="Verdana" w:hAnsi="Verdana"/>
          <w:color w:val="000000" w:themeColor="text1"/>
          <w:sz w:val="20"/>
          <w:szCs w:val="20"/>
        </w:rPr>
        <w:t>подетажно</w:t>
      </w:r>
      <w:proofErr w:type="spellEnd"/>
      <w:r w:rsidRPr="00312A9A">
        <w:rPr>
          <w:rFonts w:ascii="Verdana" w:hAnsi="Verdana"/>
          <w:color w:val="000000" w:themeColor="text1"/>
          <w:sz w:val="20"/>
          <w:szCs w:val="20"/>
        </w:rPr>
        <w:t xml:space="preserve"> </w:t>
      </w:r>
      <w:proofErr w:type="spellStart"/>
      <w:r w:rsidRPr="00312A9A">
        <w:rPr>
          <w:rFonts w:ascii="Verdana" w:hAnsi="Verdana"/>
          <w:color w:val="000000" w:themeColor="text1"/>
          <w:sz w:val="20"/>
          <w:szCs w:val="20"/>
        </w:rPr>
        <w:t>обрушаване</w:t>
      </w:r>
      <w:proofErr w:type="spellEnd"/>
      <w:r w:rsidRPr="00312A9A">
        <w:rPr>
          <w:rFonts w:ascii="Verdana" w:hAnsi="Verdana"/>
          <w:color w:val="000000" w:themeColor="text1"/>
          <w:sz w:val="20"/>
          <w:szCs w:val="20"/>
        </w:rPr>
        <w:t xml:space="preserve">, а от 2006 г. с камерна система с </w:t>
      </w:r>
      <w:proofErr w:type="spellStart"/>
      <w:r w:rsidRPr="00312A9A">
        <w:rPr>
          <w:rFonts w:ascii="Verdana" w:hAnsi="Verdana"/>
          <w:color w:val="000000" w:themeColor="text1"/>
          <w:sz w:val="20"/>
          <w:szCs w:val="20"/>
        </w:rPr>
        <w:t>последващо</w:t>
      </w:r>
      <w:proofErr w:type="spellEnd"/>
      <w:r w:rsidRPr="00312A9A">
        <w:rPr>
          <w:rFonts w:ascii="Verdana" w:hAnsi="Verdana"/>
          <w:color w:val="000000" w:themeColor="text1"/>
          <w:sz w:val="20"/>
          <w:szCs w:val="20"/>
        </w:rPr>
        <w:t xml:space="preserve"> </w:t>
      </w:r>
      <w:proofErr w:type="spellStart"/>
      <w:r w:rsidRPr="00312A9A">
        <w:rPr>
          <w:rFonts w:ascii="Verdana" w:hAnsi="Verdana"/>
          <w:color w:val="000000" w:themeColor="text1"/>
          <w:sz w:val="20"/>
          <w:szCs w:val="20"/>
        </w:rPr>
        <w:t>запълнение</w:t>
      </w:r>
      <w:proofErr w:type="spellEnd"/>
      <w:r w:rsidRPr="00312A9A">
        <w:rPr>
          <w:rFonts w:ascii="Verdana" w:hAnsi="Verdana"/>
          <w:color w:val="000000" w:themeColor="text1"/>
          <w:sz w:val="20"/>
          <w:szCs w:val="20"/>
        </w:rPr>
        <w:t xml:space="preserve"> на </w:t>
      </w:r>
      <w:proofErr w:type="spellStart"/>
      <w:r w:rsidRPr="00312A9A">
        <w:rPr>
          <w:rFonts w:ascii="Verdana" w:hAnsi="Verdana"/>
          <w:color w:val="000000" w:themeColor="text1"/>
          <w:sz w:val="20"/>
          <w:szCs w:val="20"/>
        </w:rPr>
        <w:t>добивните</w:t>
      </w:r>
      <w:proofErr w:type="spellEnd"/>
      <w:r w:rsidRPr="00312A9A">
        <w:rPr>
          <w:rFonts w:ascii="Verdana" w:hAnsi="Verdana"/>
          <w:color w:val="000000" w:themeColor="text1"/>
          <w:sz w:val="20"/>
          <w:szCs w:val="20"/>
        </w:rPr>
        <w:t xml:space="preserve"> камери. </w:t>
      </w:r>
    </w:p>
    <w:p w:rsidR="00312A9A" w:rsidRPr="00312A9A" w:rsidRDefault="00312A9A" w:rsidP="00312A9A">
      <w:pPr>
        <w:pStyle w:val="NoSpacing"/>
        <w:spacing w:line="360" w:lineRule="auto"/>
        <w:ind w:firstLine="708"/>
        <w:jc w:val="both"/>
        <w:rPr>
          <w:rFonts w:ascii="Verdana" w:hAnsi="Verdana"/>
          <w:color w:val="000000" w:themeColor="text1"/>
          <w:sz w:val="20"/>
          <w:szCs w:val="20"/>
        </w:rPr>
      </w:pPr>
      <w:r w:rsidRPr="00312A9A">
        <w:rPr>
          <w:rFonts w:ascii="Verdana" w:hAnsi="Verdana"/>
          <w:color w:val="000000" w:themeColor="text1"/>
          <w:sz w:val="20"/>
          <w:szCs w:val="20"/>
        </w:rPr>
        <w:t xml:space="preserve">Транспортните схеми в рудник „Челопеч“ са обвързани със схемите на разкриване на рудника, планираните подготвителни и </w:t>
      </w:r>
      <w:proofErr w:type="spellStart"/>
      <w:r w:rsidRPr="00312A9A">
        <w:rPr>
          <w:rFonts w:ascii="Verdana" w:hAnsi="Verdana"/>
          <w:color w:val="000000" w:themeColor="text1"/>
          <w:sz w:val="20"/>
          <w:szCs w:val="20"/>
        </w:rPr>
        <w:t>добивни</w:t>
      </w:r>
      <w:proofErr w:type="spellEnd"/>
      <w:r w:rsidRPr="00312A9A">
        <w:rPr>
          <w:rFonts w:ascii="Verdana" w:hAnsi="Verdana"/>
          <w:color w:val="000000" w:themeColor="text1"/>
          <w:sz w:val="20"/>
          <w:szCs w:val="20"/>
        </w:rPr>
        <w:t xml:space="preserve"> дейности по работни места и действащата забойна линия. Добитата руда се транспортира до подземен </w:t>
      </w:r>
      <w:proofErr w:type="spellStart"/>
      <w:r w:rsidRPr="00312A9A">
        <w:rPr>
          <w:rFonts w:ascii="Verdana" w:hAnsi="Verdana"/>
          <w:color w:val="000000" w:themeColor="text1"/>
          <w:sz w:val="20"/>
          <w:szCs w:val="20"/>
        </w:rPr>
        <w:t>трошачен</w:t>
      </w:r>
      <w:proofErr w:type="spellEnd"/>
      <w:r w:rsidRPr="00312A9A">
        <w:rPr>
          <w:rFonts w:ascii="Verdana" w:hAnsi="Verdana"/>
          <w:color w:val="000000" w:themeColor="text1"/>
          <w:sz w:val="20"/>
          <w:szCs w:val="20"/>
        </w:rPr>
        <w:t xml:space="preserve"> комплекс, от който посредством гуменолентов транспортьор, разположен в наклонена галерия „Вяра“, се доставя на повърхността. Материали, съоръжения и персонал се транспортират със самоходно мобилно оборудване по наклонена галерия „Надежда“ и участъковите минни изработки. </w:t>
      </w:r>
    </w:p>
    <w:p w:rsidR="00312A9A" w:rsidRPr="00312A9A" w:rsidRDefault="00312A9A" w:rsidP="00312A9A">
      <w:pPr>
        <w:pStyle w:val="NoSpacing"/>
        <w:spacing w:line="360" w:lineRule="auto"/>
        <w:ind w:firstLine="708"/>
        <w:jc w:val="both"/>
        <w:rPr>
          <w:rFonts w:ascii="Verdana" w:hAnsi="Verdana"/>
          <w:color w:val="000000" w:themeColor="text1"/>
          <w:sz w:val="20"/>
          <w:szCs w:val="20"/>
        </w:rPr>
      </w:pPr>
      <w:r w:rsidRPr="00312A9A">
        <w:rPr>
          <w:rFonts w:ascii="Verdana" w:hAnsi="Verdana"/>
          <w:color w:val="000000" w:themeColor="text1"/>
          <w:sz w:val="20"/>
          <w:szCs w:val="20"/>
        </w:rPr>
        <w:t xml:space="preserve">Рудникът се проветрява чрез вентилационни уредби, изградени на шахта „Изток“ и шахта „Север“. За местно проветряване, при прокарване на разкриващи и </w:t>
      </w:r>
      <w:proofErr w:type="spellStart"/>
      <w:r w:rsidRPr="00312A9A">
        <w:rPr>
          <w:rFonts w:ascii="Verdana" w:hAnsi="Verdana"/>
          <w:color w:val="000000" w:themeColor="text1"/>
          <w:sz w:val="20"/>
          <w:szCs w:val="20"/>
        </w:rPr>
        <w:t>подготвително-нарезни</w:t>
      </w:r>
      <w:proofErr w:type="spellEnd"/>
      <w:r w:rsidRPr="00312A9A">
        <w:rPr>
          <w:rFonts w:ascii="Verdana" w:hAnsi="Verdana"/>
          <w:color w:val="000000" w:themeColor="text1"/>
          <w:sz w:val="20"/>
          <w:szCs w:val="20"/>
        </w:rPr>
        <w:t xml:space="preserve"> изработки се използват вентилатори за местно проветряване.</w:t>
      </w:r>
    </w:p>
    <w:p w:rsidR="00312A9A" w:rsidRPr="00312A9A" w:rsidRDefault="00312A9A" w:rsidP="00312A9A">
      <w:pPr>
        <w:pStyle w:val="NoSpacing"/>
        <w:spacing w:line="360" w:lineRule="auto"/>
        <w:ind w:firstLine="708"/>
        <w:jc w:val="both"/>
        <w:rPr>
          <w:rFonts w:ascii="Verdana" w:hAnsi="Verdana"/>
          <w:color w:val="000000" w:themeColor="text1"/>
          <w:sz w:val="20"/>
          <w:szCs w:val="20"/>
        </w:rPr>
      </w:pPr>
      <w:r w:rsidRPr="00312A9A">
        <w:rPr>
          <w:rFonts w:ascii="Verdana" w:hAnsi="Verdana"/>
          <w:color w:val="000000" w:themeColor="text1"/>
          <w:sz w:val="20"/>
          <w:szCs w:val="20"/>
        </w:rPr>
        <w:lastRenderedPageBreak/>
        <w:t>В рудника е изградена водоснабдителна мрежа – две трасета по които водата се доставя от повърхността до работните места в необходимото количество и с необходимото налягане).</w:t>
      </w:r>
    </w:p>
    <w:p w:rsidR="00312A9A" w:rsidRPr="00312A9A" w:rsidRDefault="00312A9A" w:rsidP="00312A9A">
      <w:pPr>
        <w:pStyle w:val="NoSpacing"/>
        <w:spacing w:line="360" w:lineRule="auto"/>
        <w:ind w:firstLine="708"/>
        <w:jc w:val="both"/>
        <w:rPr>
          <w:rFonts w:ascii="Verdana" w:hAnsi="Verdana"/>
          <w:color w:val="000000" w:themeColor="text1"/>
          <w:sz w:val="20"/>
          <w:szCs w:val="20"/>
        </w:rPr>
      </w:pPr>
      <w:r w:rsidRPr="00312A9A">
        <w:rPr>
          <w:rFonts w:ascii="Verdana" w:hAnsi="Verdana"/>
          <w:color w:val="000000" w:themeColor="text1"/>
          <w:sz w:val="20"/>
          <w:szCs w:val="20"/>
        </w:rPr>
        <w:t xml:space="preserve">В близост до шахта „Капитална“, на хоризонт 405, и изграден </w:t>
      </w:r>
      <w:proofErr w:type="spellStart"/>
      <w:r w:rsidRPr="00312A9A">
        <w:rPr>
          <w:rFonts w:ascii="Verdana" w:hAnsi="Verdana"/>
          <w:color w:val="000000" w:themeColor="text1"/>
          <w:sz w:val="20"/>
          <w:szCs w:val="20"/>
        </w:rPr>
        <w:t>водоотливен</w:t>
      </w:r>
      <w:proofErr w:type="spellEnd"/>
      <w:r w:rsidRPr="00312A9A">
        <w:rPr>
          <w:rFonts w:ascii="Verdana" w:hAnsi="Verdana"/>
          <w:color w:val="000000" w:themeColor="text1"/>
          <w:sz w:val="20"/>
          <w:szCs w:val="20"/>
        </w:rPr>
        <w:t xml:space="preserve"> комплекс с два </w:t>
      </w:r>
      <w:proofErr w:type="spellStart"/>
      <w:r w:rsidRPr="00312A9A">
        <w:rPr>
          <w:rFonts w:ascii="Verdana" w:hAnsi="Verdana"/>
          <w:color w:val="000000" w:themeColor="text1"/>
          <w:sz w:val="20"/>
          <w:szCs w:val="20"/>
        </w:rPr>
        <w:t>водосборника</w:t>
      </w:r>
      <w:proofErr w:type="spellEnd"/>
      <w:r w:rsidRPr="00312A9A">
        <w:rPr>
          <w:rFonts w:ascii="Verdana" w:hAnsi="Verdana"/>
          <w:color w:val="000000" w:themeColor="text1"/>
          <w:sz w:val="20"/>
          <w:szCs w:val="20"/>
        </w:rPr>
        <w:t xml:space="preserve"> и съответните разпределителни канали към тях и три броя кладенци. След пречистване от твърдата фаза, водата се изпомпва до повърхността по два тръбопровода.</w:t>
      </w:r>
    </w:p>
    <w:p w:rsidR="00312A9A" w:rsidRPr="00312A9A" w:rsidRDefault="00312A9A" w:rsidP="00312A9A">
      <w:pPr>
        <w:pStyle w:val="NoSpacing"/>
        <w:spacing w:line="360" w:lineRule="auto"/>
        <w:ind w:firstLine="708"/>
        <w:jc w:val="both"/>
        <w:rPr>
          <w:rFonts w:ascii="Verdana" w:hAnsi="Verdana"/>
          <w:color w:val="000000" w:themeColor="text1"/>
          <w:sz w:val="20"/>
          <w:szCs w:val="20"/>
        </w:rPr>
      </w:pPr>
      <w:r w:rsidRPr="00312A9A">
        <w:rPr>
          <w:rFonts w:ascii="Verdana" w:hAnsi="Verdana"/>
          <w:color w:val="000000" w:themeColor="text1"/>
          <w:sz w:val="20"/>
          <w:szCs w:val="20"/>
        </w:rPr>
        <w:t xml:space="preserve">Електрозахранването на рудника става чрез две отклонения от Националната електрическа мрежа 110 </w:t>
      </w:r>
      <w:r w:rsidRPr="00312A9A">
        <w:rPr>
          <w:rFonts w:ascii="Verdana" w:hAnsi="Verdana"/>
          <w:color w:val="000000" w:themeColor="text1"/>
          <w:sz w:val="20"/>
          <w:szCs w:val="20"/>
          <w:lang w:val="en-US"/>
        </w:rPr>
        <w:t xml:space="preserve">kV – </w:t>
      </w:r>
      <w:r w:rsidRPr="00312A9A">
        <w:rPr>
          <w:rFonts w:ascii="Verdana" w:hAnsi="Verdana"/>
          <w:color w:val="000000" w:themeColor="text1"/>
          <w:sz w:val="20"/>
          <w:szCs w:val="20"/>
        </w:rPr>
        <w:t>Вход № 1 „Гълъбец Експрес“ и Вход № 2 „Чавдарци“.</w:t>
      </w:r>
    </w:p>
    <w:p w:rsidR="00312A9A" w:rsidRPr="00312A9A" w:rsidRDefault="00312A9A" w:rsidP="00312A9A">
      <w:pPr>
        <w:pStyle w:val="NoSpacing"/>
        <w:spacing w:line="360" w:lineRule="auto"/>
        <w:ind w:firstLine="708"/>
        <w:jc w:val="both"/>
        <w:rPr>
          <w:rFonts w:ascii="Verdana" w:hAnsi="Verdana"/>
          <w:color w:val="000000" w:themeColor="text1"/>
          <w:sz w:val="20"/>
          <w:szCs w:val="20"/>
        </w:rPr>
      </w:pPr>
      <w:r w:rsidRPr="00312A9A">
        <w:rPr>
          <w:rFonts w:ascii="Verdana" w:hAnsi="Verdana"/>
          <w:color w:val="000000" w:themeColor="text1"/>
          <w:sz w:val="20"/>
          <w:szCs w:val="20"/>
        </w:rPr>
        <w:t>Добитата руда се преработва в обогатителна фабрика, разположена на повърхността.</w:t>
      </w:r>
    </w:p>
    <w:p w:rsidR="00312A9A" w:rsidRPr="00312A9A" w:rsidRDefault="00312A9A" w:rsidP="00312A9A">
      <w:pPr>
        <w:pStyle w:val="NoSpacing"/>
        <w:spacing w:line="360" w:lineRule="auto"/>
        <w:ind w:firstLine="708"/>
        <w:jc w:val="both"/>
        <w:rPr>
          <w:rFonts w:ascii="Verdana" w:hAnsi="Verdana"/>
          <w:color w:val="000000" w:themeColor="text1"/>
          <w:sz w:val="20"/>
          <w:szCs w:val="20"/>
        </w:rPr>
      </w:pPr>
      <w:r w:rsidRPr="00312A9A">
        <w:rPr>
          <w:rFonts w:ascii="Verdana" w:hAnsi="Verdana"/>
          <w:color w:val="000000" w:themeColor="text1"/>
          <w:sz w:val="20"/>
          <w:szCs w:val="20"/>
        </w:rPr>
        <w:t xml:space="preserve">Надземният рудничен комплекс е разположен на 300 м югоизточно от с. Челопеч, от двете страни на ж. п. линията София – Бургас, спрямо която е условно разделен на „Северна“ и „Южна“ площадка. На „Северната“ площадка са разположени основните сгради и съоръжения, пряко свързани с обслужването на рудника: устията на разкриващите минни изработки, </w:t>
      </w:r>
      <w:proofErr w:type="spellStart"/>
      <w:r w:rsidRPr="00312A9A">
        <w:rPr>
          <w:rFonts w:ascii="Verdana" w:hAnsi="Verdana"/>
          <w:color w:val="000000" w:themeColor="text1"/>
          <w:sz w:val="20"/>
          <w:szCs w:val="20"/>
        </w:rPr>
        <w:t>надшахтовите</w:t>
      </w:r>
      <w:proofErr w:type="spellEnd"/>
      <w:r w:rsidRPr="00312A9A">
        <w:rPr>
          <w:rFonts w:ascii="Verdana" w:hAnsi="Verdana"/>
          <w:color w:val="000000" w:themeColor="text1"/>
          <w:sz w:val="20"/>
          <w:szCs w:val="20"/>
        </w:rPr>
        <w:t xml:space="preserve"> кули, бункерите,  сграда за подемна машина, гумено-лентов </w:t>
      </w:r>
      <w:proofErr w:type="spellStart"/>
      <w:r w:rsidRPr="00312A9A">
        <w:rPr>
          <w:rFonts w:ascii="Verdana" w:hAnsi="Verdana"/>
          <w:color w:val="000000" w:themeColor="text1"/>
          <w:sz w:val="20"/>
          <w:szCs w:val="20"/>
        </w:rPr>
        <w:t>транспртьор</w:t>
      </w:r>
      <w:proofErr w:type="spellEnd"/>
      <w:r w:rsidRPr="00312A9A">
        <w:rPr>
          <w:rFonts w:ascii="Verdana" w:hAnsi="Verdana"/>
          <w:color w:val="000000" w:themeColor="text1"/>
          <w:sz w:val="20"/>
          <w:szCs w:val="20"/>
        </w:rPr>
        <w:t xml:space="preserve"> и приемна площадка за доставяната от подземния </w:t>
      </w:r>
      <w:proofErr w:type="spellStart"/>
      <w:r w:rsidRPr="00312A9A">
        <w:rPr>
          <w:rFonts w:ascii="Verdana" w:hAnsi="Verdana"/>
          <w:color w:val="000000" w:themeColor="text1"/>
          <w:sz w:val="20"/>
          <w:szCs w:val="20"/>
        </w:rPr>
        <w:t>трошачен</w:t>
      </w:r>
      <w:proofErr w:type="spellEnd"/>
      <w:r w:rsidRPr="00312A9A">
        <w:rPr>
          <w:rFonts w:ascii="Verdana" w:hAnsi="Verdana"/>
          <w:color w:val="000000" w:themeColor="text1"/>
          <w:sz w:val="20"/>
          <w:szCs w:val="20"/>
        </w:rPr>
        <w:t xml:space="preserve"> комплекс руда, инсталация за смеси за запълване на иззетите </w:t>
      </w:r>
      <w:proofErr w:type="spellStart"/>
      <w:r w:rsidRPr="00312A9A">
        <w:rPr>
          <w:rFonts w:ascii="Verdana" w:hAnsi="Verdana"/>
          <w:color w:val="000000" w:themeColor="text1"/>
          <w:sz w:val="20"/>
          <w:szCs w:val="20"/>
        </w:rPr>
        <w:t>добивни</w:t>
      </w:r>
      <w:proofErr w:type="spellEnd"/>
      <w:r w:rsidRPr="00312A9A">
        <w:rPr>
          <w:rFonts w:ascii="Verdana" w:hAnsi="Verdana"/>
          <w:color w:val="000000" w:themeColor="text1"/>
          <w:sz w:val="20"/>
          <w:szCs w:val="20"/>
        </w:rPr>
        <w:t xml:space="preserve"> камери, резервоари за вода. На „Южната“ площадка са разположени: обогатителната фабрика, корпус за едро трошене, варова централа, РМЦ, склад за концентрат, складово стопанство, склад за опасни отпадъци, бензиностанция, химическа лаборатория, централна разпределителна подстанция, административна сграда, корпус на рудника, столова, гараж, автомивка. </w:t>
      </w:r>
      <w:r w:rsidRPr="00312A9A">
        <w:rPr>
          <w:rFonts w:ascii="Verdana" w:hAnsi="Verdana"/>
          <w:color w:val="000000" w:themeColor="text1"/>
          <w:sz w:val="20"/>
          <w:szCs w:val="20"/>
          <w:lang w:val="en-US"/>
        </w:rPr>
        <w:t xml:space="preserve"> </w:t>
      </w:r>
      <w:r w:rsidRPr="00312A9A">
        <w:rPr>
          <w:rFonts w:ascii="Verdana" w:hAnsi="Verdana"/>
          <w:color w:val="000000" w:themeColor="text1"/>
          <w:sz w:val="20"/>
          <w:szCs w:val="20"/>
        </w:rPr>
        <w:t xml:space="preserve"> </w:t>
      </w:r>
    </w:p>
    <w:p w:rsidR="00312A9A" w:rsidRPr="00312A9A" w:rsidRDefault="00312A9A" w:rsidP="00312A9A">
      <w:pPr>
        <w:pStyle w:val="NoSpacing"/>
        <w:spacing w:line="360" w:lineRule="auto"/>
        <w:ind w:firstLine="708"/>
        <w:jc w:val="both"/>
        <w:rPr>
          <w:rFonts w:ascii="Verdana" w:hAnsi="Verdana"/>
          <w:color w:val="000000" w:themeColor="text1"/>
          <w:sz w:val="20"/>
          <w:szCs w:val="20"/>
        </w:rPr>
      </w:pPr>
      <w:r w:rsidRPr="00312A9A">
        <w:rPr>
          <w:rFonts w:ascii="Verdana" w:hAnsi="Verdana"/>
          <w:color w:val="000000" w:themeColor="text1"/>
          <w:sz w:val="20"/>
          <w:szCs w:val="20"/>
        </w:rPr>
        <w:t xml:space="preserve">След преработката (трошене, смилане и класификация, флотация, обезводняване) на добитата руда в обогатителната фабрика се получават меден и </w:t>
      </w:r>
      <w:proofErr w:type="spellStart"/>
      <w:r w:rsidRPr="00312A9A">
        <w:rPr>
          <w:rFonts w:ascii="Verdana" w:hAnsi="Verdana"/>
          <w:color w:val="000000" w:themeColor="text1"/>
          <w:sz w:val="20"/>
          <w:szCs w:val="20"/>
        </w:rPr>
        <w:t>пиритен</w:t>
      </w:r>
      <w:proofErr w:type="spellEnd"/>
      <w:r w:rsidRPr="00312A9A">
        <w:rPr>
          <w:rFonts w:ascii="Verdana" w:hAnsi="Verdana"/>
          <w:color w:val="000000" w:themeColor="text1"/>
          <w:sz w:val="20"/>
          <w:szCs w:val="20"/>
        </w:rPr>
        <w:t xml:space="preserve"> концентрат. </w:t>
      </w:r>
    </w:p>
    <w:p w:rsidR="00312A9A" w:rsidRDefault="00312A9A" w:rsidP="00312A9A">
      <w:pPr>
        <w:pStyle w:val="NoSpacing"/>
        <w:spacing w:line="360" w:lineRule="auto"/>
        <w:ind w:firstLine="708"/>
        <w:jc w:val="both"/>
        <w:rPr>
          <w:rFonts w:ascii="Verdana" w:hAnsi="Verdana"/>
          <w:color w:val="000000" w:themeColor="text1"/>
          <w:sz w:val="20"/>
          <w:szCs w:val="20"/>
        </w:rPr>
      </w:pPr>
      <w:r w:rsidRPr="00312A9A">
        <w:rPr>
          <w:rFonts w:ascii="Verdana" w:hAnsi="Verdana"/>
          <w:color w:val="000000" w:themeColor="text1"/>
          <w:sz w:val="20"/>
          <w:szCs w:val="20"/>
        </w:rPr>
        <w:t xml:space="preserve">Флотационният отпадък постъпва в инсталацията за подготовка на </w:t>
      </w:r>
      <w:proofErr w:type="spellStart"/>
      <w:r w:rsidRPr="00312A9A">
        <w:rPr>
          <w:rFonts w:ascii="Verdana" w:hAnsi="Verdana"/>
          <w:color w:val="000000" w:themeColor="text1"/>
          <w:sz w:val="20"/>
          <w:szCs w:val="20"/>
        </w:rPr>
        <w:t>запълвачна</w:t>
      </w:r>
      <w:proofErr w:type="spellEnd"/>
      <w:r w:rsidRPr="00312A9A">
        <w:rPr>
          <w:rFonts w:ascii="Verdana" w:hAnsi="Verdana"/>
          <w:color w:val="000000" w:themeColor="text1"/>
          <w:sz w:val="20"/>
          <w:szCs w:val="20"/>
        </w:rPr>
        <w:t xml:space="preserve"> смес и се смесва с цимент в определено съотношение. Получената </w:t>
      </w:r>
      <w:proofErr w:type="spellStart"/>
      <w:r w:rsidRPr="00312A9A">
        <w:rPr>
          <w:rFonts w:ascii="Verdana" w:hAnsi="Verdana"/>
          <w:color w:val="000000" w:themeColor="text1"/>
          <w:sz w:val="20"/>
          <w:szCs w:val="20"/>
        </w:rPr>
        <w:t>пастообразна</w:t>
      </w:r>
      <w:proofErr w:type="spellEnd"/>
      <w:r w:rsidRPr="00312A9A">
        <w:rPr>
          <w:rFonts w:ascii="Verdana" w:hAnsi="Verdana"/>
          <w:color w:val="000000" w:themeColor="text1"/>
          <w:sz w:val="20"/>
          <w:szCs w:val="20"/>
        </w:rPr>
        <w:t xml:space="preserve"> смес се използва за запълване на </w:t>
      </w:r>
      <w:proofErr w:type="spellStart"/>
      <w:r w:rsidRPr="00312A9A">
        <w:rPr>
          <w:rFonts w:ascii="Verdana" w:hAnsi="Verdana"/>
          <w:color w:val="000000" w:themeColor="text1"/>
          <w:sz w:val="20"/>
          <w:szCs w:val="20"/>
        </w:rPr>
        <w:t>добивните</w:t>
      </w:r>
      <w:proofErr w:type="spellEnd"/>
      <w:r w:rsidRPr="00312A9A">
        <w:rPr>
          <w:rFonts w:ascii="Verdana" w:hAnsi="Verdana"/>
          <w:color w:val="000000" w:themeColor="text1"/>
          <w:sz w:val="20"/>
          <w:szCs w:val="20"/>
        </w:rPr>
        <w:t xml:space="preserve"> камери в рудника. Когато инсталацията за </w:t>
      </w:r>
      <w:proofErr w:type="spellStart"/>
      <w:r w:rsidRPr="00312A9A">
        <w:rPr>
          <w:rFonts w:ascii="Verdana" w:hAnsi="Verdana"/>
          <w:color w:val="000000" w:themeColor="text1"/>
          <w:sz w:val="20"/>
          <w:szCs w:val="20"/>
        </w:rPr>
        <w:t>запълвачна</w:t>
      </w:r>
      <w:proofErr w:type="spellEnd"/>
      <w:r w:rsidRPr="00312A9A">
        <w:rPr>
          <w:rFonts w:ascii="Verdana" w:hAnsi="Verdana"/>
          <w:color w:val="000000" w:themeColor="text1"/>
          <w:sz w:val="20"/>
          <w:szCs w:val="20"/>
        </w:rPr>
        <w:t xml:space="preserve"> смес не работи, флотационният отпадък се транспортира към </w:t>
      </w:r>
      <w:proofErr w:type="spellStart"/>
      <w:r w:rsidRPr="00312A9A">
        <w:rPr>
          <w:rFonts w:ascii="Verdana" w:hAnsi="Verdana"/>
          <w:color w:val="000000" w:themeColor="text1"/>
          <w:sz w:val="20"/>
          <w:szCs w:val="20"/>
        </w:rPr>
        <w:t>хвостохранилището</w:t>
      </w:r>
      <w:proofErr w:type="spellEnd"/>
      <w:r w:rsidRPr="00312A9A">
        <w:rPr>
          <w:rFonts w:ascii="Verdana" w:hAnsi="Verdana"/>
          <w:color w:val="000000" w:themeColor="text1"/>
          <w:sz w:val="20"/>
          <w:szCs w:val="20"/>
        </w:rPr>
        <w:t xml:space="preserve"> за депониране.</w:t>
      </w:r>
    </w:p>
    <w:p w:rsidR="000F627C" w:rsidRDefault="000F627C" w:rsidP="000F627C">
      <w:pPr>
        <w:pStyle w:val="NoSpacing"/>
        <w:spacing w:after="120" w:line="360" w:lineRule="auto"/>
        <w:ind w:firstLine="708"/>
        <w:jc w:val="both"/>
        <w:rPr>
          <w:rFonts w:ascii="Verdana" w:hAnsi="Verdana"/>
          <w:b/>
          <w:sz w:val="20"/>
          <w:szCs w:val="20"/>
          <w:u w:val="single"/>
        </w:rPr>
      </w:pPr>
    </w:p>
    <w:p w:rsidR="000F627C" w:rsidRPr="008F719D" w:rsidRDefault="000F627C" w:rsidP="000F627C">
      <w:pPr>
        <w:pStyle w:val="NoSpacing"/>
        <w:spacing w:after="120" w:line="360" w:lineRule="auto"/>
        <w:ind w:firstLine="708"/>
        <w:jc w:val="both"/>
        <w:rPr>
          <w:rFonts w:ascii="Verdana" w:hAnsi="Verdana"/>
          <w:b/>
          <w:sz w:val="20"/>
          <w:szCs w:val="20"/>
          <w:u w:val="single"/>
        </w:rPr>
      </w:pPr>
      <w:r w:rsidRPr="008F719D">
        <w:rPr>
          <w:rFonts w:ascii="Verdana" w:hAnsi="Verdana"/>
          <w:b/>
          <w:sz w:val="20"/>
          <w:szCs w:val="20"/>
          <w:u w:val="single"/>
        </w:rPr>
        <w:t>КОНЦЕСИЯ</w:t>
      </w:r>
    </w:p>
    <w:p w:rsidR="000F627C" w:rsidRDefault="000F627C" w:rsidP="000F627C">
      <w:pPr>
        <w:pStyle w:val="NoSpacing"/>
        <w:spacing w:line="360" w:lineRule="auto"/>
        <w:ind w:firstLine="708"/>
        <w:jc w:val="both"/>
        <w:rPr>
          <w:rFonts w:ascii="Verdana" w:hAnsi="Verdana"/>
          <w:sz w:val="20"/>
          <w:szCs w:val="20"/>
        </w:rPr>
      </w:pPr>
      <w:r w:rsidRPr="00D16378">
        <w:rPr>
          <w:rFonts w:ascii="Verdana" w:hAnsi="Verdana"/>
          <w:sz w:val="20"/>
          <w:szCs w:val="20"/>
        </w:rPr>
        <w:t>С</w:t>
      </w:r>
      <w:r>
        <w:rPr>
          <w:rFonts w:ascii="Verdana" w:hAnsi="Verdana"/>
          <w:sz w:val="20"/>
          <w:szCs w:val="20"/>
        </w:rPr>
        <w:t xml:space="preserve"> Решение № 147 на Министерския съвет от 26.03.1999 г. (</w:t>
      </w:r>
      <w:proofErr w:type="spellStart"/>
      <w:r>
        <w:rPr>
          <w:rFonts w:ascii="Verdana" w:hAnsi="Verdana"/>
          <w:sz w:val="20"/>
          <w:szCs w:val="20"/>
        </w:rPr>
        <w:t>Обн</w:t>
      </w:r>
      <w:proofErr w:type="spellEnd"/>
      <w:r>
        <w:rPr>
          <w:rFonts w:ascii="Verdana" w:hAnsi="Verdana"/>
          <w:sz w:val="20"/>
          <w:szCs w:val="20"/>
        </w:rPr>
        <w:t>. ДВ, бр. 31 от 1999 г.), изменено и допълнено с Решение № 15 на Министерския съвет от 16.01.2004 г. (</w:t>
      </w:r>
      <w:proofErr w:type="spellStart"/>
      <w:r>
        <w:rPr>
          <w:rFonts w:ascii="Verdana" w:hAnsi="Verdana"/>
          <w:sz w:val="20"/>
          <w:szCs w:val="20"/>
        </w:rPr>
        <w:t>Обн</w:t>
      </w:r>
      <w:proofErr w:type="spellEnd"/>
      <w:r>
        <w:rPr>
          <w:rFonts w:ascii="Verdana" w:hAnsi="Verdana"/>
          <w:sz w:val="20"/>
          <w:szCs w:val="20"/>
        </w:rPr>
        <w:t xml:space="preserve">. ДВ, бр. 7 от 27.01.2004 г.), </w:t>
      </w:r>
      <w:r w:rsidRPr="004460B5">
        <w:rPr>
          <w:rFonts w:ascii="Verdana" w:hAnsi="Verdana"/>
          <w:color w:val="000000" w:themeColor="text1"/>
          <w:sz w:val="20"/>
          <w:szCs w:val="20"/>
        </w:rPr>
        <w:t xml:space="preserve">на „Челопеч“ ЕАД </w:t>
      </w:r>
      <w:r>
        <w:rPr>
          <w:rFonts w:ascii="Verdana" w:hAnsi="Verdana"/>
          <w:sz w:val="20"/>
          <w:szCs w:val="20"/>
        </w:rPr>
        <w:t xml:space="preserve">е предоставена концесия за подземни природни богатства – </w:t>
      </w:r>
      <w:proofErr w:type="spellStart"/>
      <w:r>
        <w:rPr>
          <w:rFonts w:ascii="Verdana" w:hAnsi="Verdana"/>
          <w:sz w:val="20"/>
          <w:szCs w:val="20"/>
        </w:rPr>
        <w:t>златни-медно-пиритни</w:t>
      </w:r>
      <w:proofErr w:type="spellEnd"/>
      <w:r>
        <w:rPr>
          <w:rFonts w:ascii="Verdana" w:hAnsi="Verdana"/>
          <w:sz w:val="20"/>
          <w:szCs w:val="20"/>
        </w:rPr>
        <w:t xml:space="preserve"> руди чрез добив от находище „Челопеч“, Софийска област. Концесионният договор е сключен на </w:t>
      </w:r>
      <w:r w:rsidRPr="004460B5">
        <w:rPr>
          <w:rFonts w:ascii="Verdana" w:hAnsi="Verdana"/>
          <w:color w:val="000000" w:themeColor="text1"/>
          <w:sz w:val="20"/>
          <w:szCs w:val="20"/>
        </w:rPr>
        <w:lastRenderedPageBreak/>
        <w:t>19.05.1999 г. между Министерския съвет на Република България, представляван от заместник-министър председателя и министър на промишлеността (</w:t>
      </w:r>
      <w:proofErr w:type="spellStart"/>
      <w:r w:rsidRPr="004460B5">
        <w:rPr>
          <w:rFonts w:ascii="Verdana" w:hAnsi="Verdana"/>
          <w:color w:val="000000" w:themeColor="text1"/>
          <w:sz w:val="20"/>
          <w:szCs w:val="20"/>
        </w:rPr>
        <w:t>концедент</w:t>
      </w:r>
      <w:proofErr w:type="spellEnd"/>
      <w:r w:rsidRPr="004460B5">
        <w:rPr>
          <w:rFonts w:ascii="Verdana" w:hAnsi="Verdana"/>
          <w:color w:val="000000" w:themeColor="text1"/>
          <w:sz w:val="20"/>
          <w:szCs w:val="20"/>
        </w:rPr>
        <w:t xml:space="preserve">) и „Челопеч“ ЕАД (концесионер). След 28.06.2013 г. правно-организационната форма на търговското дружеството е променена и концесионерът осъществява търговската </w:t>
      </w:r>
      <w:r>
        <w:rPr>
          <w:rFonts w:ascii="Verdana" w:hAnsi="Verdana"/>
          <w:sz w:val="20"/>
          <w:szCs w:val="20"/>
        </w:rPr>
        <w:t>си дейност под наименованието „</w:t>
      </w:r>
      <w:proofErr w:type="spellStart"/>
      <w:r>
        <w:rPr>
          <w:rFonts w:ascii="Verdana" w:hAnsi="Verdana"/>
          <w:sz w:val="20"/>
          <w:szCs w:val="20"/>
        </w:rPr>
        <w:t>Дънди</w:t>
      </w:r>
      <w:proofErr w:type="spellEnd"/>
      <w:r>
        <w:rPr>
          <w:rFonts w:ascii="Verdana" w:hAnsi="Verdana"/>
          <w:sz w:val="20"/>
          <w:szCs w:val="20"/>
        </w:rPr>
        <w:t xml:space="preserve"> </w:t>
      </w:r>
      <w:proofErr w:type="spellStart"/>
      <w:r>
        <w:rPr>
          <w:rFonts w:ascii="Verdana" w:hAnsi="Verdana"/>
          <w:sz w:val="20"/>
          <w:szCs w:val="20"/>
        </w:rPr>
        <w:t>Прешъс</w:t>
      </w:r>
      <w:proofErr w:type="spellEnd"/>
      <w:r>
        <w:rPr>
          <w:rFonts w:ascii="Verdana" w:hAnsi="Verdana"/>
          <w:sz w:val="20"/>
          <w:szCs w:val="20"/>
        </w:rPr>
        <w:t xml:space="preserve"> </w:t>
      </w:r>
      <w:proofErr w:type="spellStart"/>
      <w:r>
        <w:rPr>
          <w:rFonts w:ascii="Verdana" w:hAnsi="Verdana"/>
          <w:sz w:val="20"/>
          <w:szCs w:val="20"/>
        </w:rPr>
        <w:t>Металс</w:t>
      </w:r>
      <w:proofErr w:type="spellEnd"/>
      <w:r>
        <w:rPr>
          <w:rFonts w:ascii="Verdana" w:hAnsi="Verdana"/>
          <w:sz w:val="20"/>
          <w:szCs w:val="20"/>
        </w:rPr>
        <w:t xml:space="preserve"> Челопеч“ ЕАД.</w:t>
      </w:r>
    </w:p>
    <w:p w:rsidR="000F627C" w:rsidRPr="009D320D" w:rsidRDefault="000F627C" w:rsidP="000F627C">
      <w:pPr>
        <w:pStyle w:val="NoSpacing"/>
        <w:spacing w:line="360" w:lineRule="auto"/>
        <w:ind w:firstLine="708"/>
        <w:jc w:val="both"/>
        <w:rPr>
          <w:rFonts w:ascii="Verdana" w:hAnsi="Verdana"/>
          <w:color w:val="000000" w:themeColor="text1"/>
          <w:sz w:val="20"/>
          <w:szCs w:val="20"/>
        </w:rPr>
      </w:pPr>
      <w:r>
        <w:rPr>
          <w:rFonts w:ascii="Verdana" w:hAnsi="Verdana"/>
          <w:sz w:val="20"/>
          <w:szCs w:val="20"/>
        </w:rPr>
        <w:t xml:space="preserve">Условията за осъществяване на концесията, </w:t>
      </w:r>
      <w:r w:rsidRPr="00BD2714">
        <w:rPr>
          <w:rFonts w:ascii="Verdana" w:hAnsi="Verdana"/>
          <w:sz w:val="20"/>
          <w:szCs w:val="20"/>
        </w:rPr>
        <w:t>правата и задълженията на концесионера</w:t>
      </w:r>
      <w:r>
        <w:rPr>
          <w:rFonts w:ascii="Verdana" w:hAnsi="Verdana"/>
          <w:sz w:val="20"/>
          <w:szCs w:val="20"/>
        </w:rPr>
        <w:t xml:space="preserve"> (и видовете гаранции за изпълнението им)</w:t>
      </w:r>
      <w:r w:rsidRPr="00BD2714">
        <w:rPr>
          <w:rFonts w:ascii="Verdana" w:hAnsi="Verdana"/>
          <w:sz w:val="20"/>
          <w:szCs w:val="20"/>
        </w:rPr>
        <w:t xml:space="preserve"> и на </w:t>
      </w:r>
      <w:proofErr w:type="spellStart"/>
      <w:r w:rsidRPr="00BD2714">
        <w:rPr>
          <w:rFonts w:ascii="Verdana" w:hAnsi="Verdana"/>
          <w:sz w:val="20"/>
          <w:szCs w:val="20"/>
        </w:rPr>
        <w:t>концедента</w:t>
      </w:r>
      <w:proofErr w:type="spellEnd"/>
      <w:r w:rsidRPr="00BD2714">
        <w:rPr>
          <w:rFonts w:ascii="Verdana" w:hAnsi="Verdana"/>
          <w:sz w:val="20"/>
          <w:szCs w:val="20"/>
        </w:rPr>
        <w:t>,</w:t>
      </w:r>
      <w:r>
        <w:rPr>
          <w:rFonts w:ascii="Verdana" w:hAnsi="Verdana"/>
          <w:sz w:val="20"/>
          <w:szCs w:val="20"/>
        </w:rPr>
        <w:t xml:space="preserve"> срокът на концесията и начина за определяне и заплащане на концесионното възнаграждение, са уточнени в посочените по-горе решения на Министерския съвет, в „Договор за </w:t>
      </w:r>
      <w:r w:rsidRPr="0098471B">
        <w:rPr>
          <w:rFonts w:ascii="Verdana" w:hAnsi="Verdana"/>
          <w:sz w:val="20"/>
          <w:szCs w:val="20"/>
        </w:rPr>
        <w:t>предостав</w:t>
      </w:r>
      <w:r>
        <w:rPr>
          <w:rFonts w:ascii="Verdana" w:hAnsi="Verdana"/>
          <w:sz w:val="20"/>
          <w:szCs w:val="20"/>
        </w:rPr>
        <w:t xml:space="preserve">яне на концесия за подземни природни богатства – </w:t>
      </w:r>
      <w:proofErr w:type="spellStart"/>
      <w:r>
        <w:rPr>
          <w:rFonts w:ascii="Verdana" w:hAnsi="Verdana"/>
          <w:sz w:val="20"/>
          <w:szCs w:val="20"/>
        </w:rPr>
        <w:t>златно-медни-пиритни</w:t>
      </w:r>
      <w:proofErr w:type="spellEnd"/>
      <w:r>
        <w:rPr>
          <w:rFonts w:ascii="Verdana" w:hAnsi="Verdana"/>
          <w:sz w:val="20"/>
          <w:szCs w:val="20"/>
        </w:rPr>
        <w:t xml:space="preserve"> руди, чрез добив от находище „Челопеч“ – Софийска област“ и в сключените към него допълнителни споразумения</w:t>
      </w:r>
      <w:r>
        <w:rPr>
          <w:rFonts w:ascii="Verdana" w:hAnsi="Verdana"/>
          <w:sz w:val="20"/>
          <w:szCs w:val="20"/>
          <w:lang w:val="en-US"/>
        </w:rPr>
        <w:t xml:space="preserve"> (</w:t>
      </w:r>
      <w:r>
        <w:rPr>
          <w:rFonts w:ascii="Verdana" w:hAnsi="Verdana"/>
          <w:sz w:val="20"/>
          <w:szCs w:val="20"/>
        </w:rPr>
        <w:t xml:space="preserve">Допълнително споразумение № 1 от 19.09.2000 г. към Договор за предоставяне на концесия за подземни природни богатства – </w:t>
      </w:r>
      <w:proofErr w:type="spellStart"/>
      <w:r>
        <w:rPr>
          <w:rFonts w:ascii="Verdana" w:hAnsi="Verdana"/>
          <w:sz w:val="20"/>
          <w:szCs w:val="20"/>
        </w:rPr>
        <w:t>златно-медно-пиритни</w:t>
      </w:r>
      <w:proofErr w:type="spellEnd"/>
      <w:r>
        <w:rPr>
          <w:rFonts w:ascii="Verdana" w:hAnsi="Verdana"/>
          <w:sz w:val="20"/>
          <w:szCs w:val="20"/>
        </w:rPr>
        <w:t xml:space="preserve"> руди чрез добив от находище „Челопеч“ – Софийска област, сключен на 19.05.1999 г.; Допълнително споразумение № 2 от 27.02.2004 г.; Допълнително споразумение № 3 от 10.07.2008 г.;</w:t>
      </w:r>
      <w:r w:rsidRPr="008501FA">
        <w:rPr>
          <w:rFonts w:ascii="Verdana" w:hAnsi="Verdana"/>
          <w:sz w:val="20"/>
          <w:szCs w:val="20"/>
        </w:rPr>
        <w:t xml:space="preserve"> </w:t>
      </w:r>
      <w:r>
        <w:rPr>
          <w:rFonts w:ascii="Verdana" w:hAnsi="Verdana"/>
          <w:sz w:val="20"/>
          <w:szCs w:val="20"/>
        </w:rPr>
        <w:t xml:space="preserve">Допълнително споразумение № 4 от 28.12.2009 г. и  </w:t>
      </w:r>
      <w:r w:rsidRPr="009D320D">
        <w:rPr>
          <w:rFonts w:ascii="Verdana" w:hAnsi="Verdana"/>
          <w:color w:val="000000" w:themeColor="text1"/>
          <w:sz w:val="20"/>
          <w:szCs w:val="20"/>
        </w:rPr>
        <w:t>Допълнително споразумение № 5 от 11.08.2015 г.)</w:t>
      </w:r>
      <w:r>
        <w:rPr>
          <w:rFonts w:ascii="Verdana" w:hAnsi="Verdana"/>
          <w:color w:val="000000" w:themeColor="text1"/>
          <w:sz w:val="20"/>
          <w:szCs w:val="20"/>
        </w:rPr>
        <w:t>.</w:t>
      </w:r>
    </w:p>
    <w:p w:rsidR="000F627C" w:rsidRPr="009D320D" w:rsidRDefault="000F627C" w:rsidP="000F627C">
      <w:pPr>
        <w:pStyle w:val="NoSpacing"/>
        <w:spacing w:line="360" w:lineRule="auto"/>
        <w:ind w:firstLine="708"/>
        <w:jc w:val="both"/>
        <w:rPr>
          <w:rFonts w:ascii="Verdana" w:hAnsi="Verdana"/>
          <w:color w:val="000000" w:themeColor="text1"/>
          <w:sz w:val="20"/>
          <w:szCs w:val="20"/>
        </w:rPr>
      </w:pPr>
      <w:r w:rsidRPr="009D320D">
        <w:rPr>
          <w:rFonts w:ascii="Verdana" w:hAnsi="Verdana"/>
          <w:color w:val="000000" w:themeColor="text1"/>
          <w:sz w:val="20"/>
          <w:szCs w:val="20"/>
        </w:rPr>
        <w:t xml:space="preserve">Концесионерът заплаща годишно концесионно възнаграждение на две вноски в размер 1,5 на сто от стойността на металите (мед, злато и сребро) в добитите количества руда, изчислена от </w:t>
      </w:r>
      <w:proofErr w:type="spellStart"/>
      <w:r w:rsidRPr="009D320D">
        <w:rPr>
          <w:rFonts w:ascii="Verdana" w:hAnsi="Verdana"/>
          <w:color w:val="000000" w:themeColor="text1"/>
          <w:sz w:val="20"/>
          <w:szCs w:val="20"/>
        </w:rPr>
        <w:t>концедента</w:t>
      </w:r>
      <w:proofErr w:type="spellEnd"/>
      <w:r w:rsidRPr="009D320D">
        <w:rPr>
          <w:rFonts w:ascii="Verdana" w:hAnsi="Verdana"/>
          <w:color w:val="000000" w:themeColor="text1"/>
          <w:sz w:val="20"/>
          <w:szCs w:val="20"/>
        </w:rPr>
        <w:t xml:space="preserve"> по средноаритметичните цени на металите (курс „продава“ на Лондонска метална борса) за предходен шест месечен период. Процентния размер на концесионното възнаграждение (1,5 %) е в границите, определени в Приложение № 3 „Методика за определяне на конкретния размер на концесионното възнаграждение за метални и неметални (индустриални минерали) полезни изкопаеми, за скъпоценни и </w:t>
      </w:r>
      <w:proofErr w:type="spellStart"/>
      <w:r w:rsidRPr="009D320D">
        <w:rPr>
          <w:rFonts w:ascii="Verdana" w:hAnsi="Verdana"/>
          <w:color w:val="000000" w:themeColor="text1"/>
          <w:sz w:val="20"/>
          <w:szCs w:val="20"/>
        </w:rPr>
        <w:t>полускъпоценни</w:t>
      </w:r>
      <w:proofErr w:type="spellEnd"/>
      <w:r w:rsidRPr="009D320D">
        <w:rPr>
          <w:rFonts w:ascii="Verdana" w:hAnsi="Verdana"/>
          <w:color w:val="000000" w:themeColor="text1"/>
          <w:sz w:val="20"/>
          <w:szCs w:val="20"/>
        </w:rPr>
        <w:t xml:space="preserve"> камъни“ към чл. 10 от Наредбата за принципите и методиката за определяне на концесионното възнаграждение за добив на подземни богатства по реда на Закона за подземните богатства (</w:t>
      </w:r>
      <w:proofErr w:type="spellStart"/>
      <w:r w:rsidRPr="009D320D">
        <w:rPr>
          <w:rFonts w:ascii="Verdana" w:hAnsi="Verdana"/>
          <w:color w:val="000000" w:themeColor="text1"/>
          <w:sz w:val="20"/>
          <w:szCs w:val="20"/>
        </w:rPr>
        <w:t>Обн</w:t>
      </w:r>
      <w:proofErr w:type="spellEnd"/>
      <w:r w:rsidRPr="009D320D">
        <w:rPr>
          <w:rFonts w:ascii="Verdana" w:hAnsi="Verdana"/>
          <w:color w:val="000000" w:themeColor="text1"/>
          <w:sz w:val="20"/>
          <w:szCs w:val="20"/>
        </w:rPr>
        <w:t>. ДВ, бр. 59 от 29.06.1999 г.).</w:t>
      </w:r>
    </w:p>
    <w:p w:rsidR="000F627C" w:rsidRDefault="000F627C" w:rsidP="000F627C">
      <w:pPr>
        <w:pStyle w:val="NoSpacing"/>
        <w:spacing w:after="240" w:line="360" w:lineRule="auto"/>
        <w:ind w:firstLine="709"/>
        <w:jc w:val="both"/>
        <w:rPr>
          <w:rFonts w:ascii="Verdana" w:hAnsi="Verdana"/>
          <w:sz w:val="20"/>
          <w:szCs w:val="20"/>
        </w:rPr>
      </w:pPr>
      <w:r>
        <w:rPr>
          <w:rFonts w:ascii="Verdana" w:hAnsi="Verdana"/>
          <w:sz w:val="20"/>
          <w:szCs w:val="20"/>
        </w:rPr>
        <w:t xml:space="preserve">С ПМС № 128 от 04.06.2007 г. са направени изменения в Приложение № 3  „Методика за определяне на конкретния размер на концесионното възнаграждение за метални полезни изкопаеми, за неметални полезни изкопаеми – индустриални минерали и за скъпоценни и </w:t>
      </w:r>
      <w:proofErr w:type="spellStart"/>
      <w:r>
        <w:rPr>
          <w:rFonts w:ascii="Verdana" w:hAnsi="Verdana"/>
          <w:sz w:val="20"/>
          <w:szCs w:val="20"/>
        </w:rPr>
        <w:t>полускъпоценни</w:t>
      </w:r>
      <w:proofErr w:type="spellEnd"/>
      <w:r>
        <w:rPr>
          <w:rFonts w:ascii="Verdana" w:hAnsi="Verdana"/>
          <w:sz w:val="20"/>
          <w:szCs w:val="20"/>
        </w:rPr>
        <w:t xml:space="preserve"> камъни“ към чл. 10 от Наредбата за принципите и методиката за определяне на концесионното възнаграждение за добив на подземни богатства по реда на Закона за подземните богатства, съгласно които процентният размер на концесионното възнаграждение се обвързва с рентабилността на нетните приходи от продажби на обекта на концесията и се изчислява по определена формула. Направените изменения на посочената по-горе методика не се прилагат при определяне на концесионното възнаграждение за </w:t>
      </w:r>
      <w:r>
        <w:rPr>
          <w:rFonts w:ascii="Verdana" w:hAnsi="Verdana"/>
          <w:sz w:val="20"/>
          <w:szCs w:val="20"/>
        </w:rPr>
        <w:lastRenderedPageBreak/>
        <w:t xml:space="preserve">находище „Челопеч“, тъй като с изменение и допълнение на Закона за подземните богатства (ЗИДЗПБ, </w:t>
      </w:r>
      <w:proofErr w:type="spellStart"/>
      <w:r>
        <w:rPr>
          <w:rFonts w:ascii="Verdana" w:hAnsi="Verdana"/>
          <w:sz w:val="20"/>
          <w:szCs w:val="20"/>
        </w:rPr>
        <w:t>обн</w:t>
      </w:r>
      <w:proofErr w:type="spellEnd"/>
      <w:r>
        <w:rPr>
          <w:rFonts w:ascii="Verdana" w:hAnsi="Verdana"/>
          <w:sz w:val="20"/>
          <w:szCs w:val="20"/>
        </w:rPr>
        <w:t>. ДВ, бр. 70 от 08.</w:t>
      </w:r>
      <w:proofErr w:type="spellStart"/>
      <w:r>
        <w:rPr>
          <w:rFonts w:ascii="Verdana" w:hAnsi="Verdana"/>
          <w:sz w:val="20"/>
          <w:szCs w:val="20"/>
        </w:rPr>
        <w:t>08</w:t>
      </w:r>
      <w:proofErr w:type="spellEnd"/>
      <w:r>
        <w:rPr>
          <w:rFonts w:ascii="Verdana" w:hAnsi="Verdana"/>
          <w:sz w:val="20"/>
          <w:szCs w:val="20"/>
        </w:rPr>
        <w:t>.2008 г) е включена разпоредба (§ 87 от ПР на ЗИДЗПБ), съгласно която, концесионерите по сключени към датата на влизане в сила на ЗИДЗПБ концесионни договори запазват правата и задълженията си при условията на сключените договори до изтичане срока на концесията.</w:t>
      </w:r>
    </w:p>
    <w:p w:rsidR="00312A9A" w:rsidRPr="00312A9A" w:rsidRDefault="00312A9A" w:rsidP="00312A9A">
      <w:pPr>
        <w:pStyle w:val="NoSpacing"/>
        <w:spacing w:line="360" w:lineRule="auto"/>
        <w:ind w:firstLine="708"/>
        <w:jc w:val="both"/>
        <w:rPr>
          <w:rFonts w:ascii="Verdana" w:hAnsi="Verdana"/>
          <w:color w:val="000000" w:themeColor="text1"/>
          <w:sz w:val="20"/>
          <w:szCs w:val="20"/>
        </w:rPr>
      </w:pPr>
    </w:p>
    <w:p w:rsidR="000F627C" w:rsidRPr="0098471B" w:rsidRDefault="000F627C" w:rsidP="000F627C">
      <w:pPr>
        <w:pStyle w:val="NoSpacing"/>
        <w:numPr>
          <w:ilvl w:val="0"/>
          <w:numId w:val="1"/>
        </w:numPr>
        <w:spacing w:after="120" w:line="360" w:lineRule="auto"/>
        <w:ind w:left="1418" w:hanging="709"/>
        <w:jc w:val="both"/>
        <w:rPr>
          <w:rFonts w:ascii="Verdana" w:hAnsi="Verdana"/>
          <w:b/>
          <w:sz w:val="20"/>
          <w:szCs w:val="20"/>
        </w:rPr>
      </w:pPr>
      <w:r w:rsidRPr="0098471B">
        <w:rPr>
          <w:rFonts w:ascii="Verdana" w:hAnsi="Verdana"/>
          <w:b/>
          <w:sz w:val="20"/>
          <w:szCs w:val="20"/>
        </w:rPr>
        <w:t xml:space="preserve">ПРЕДМЕТ НА </w:t>
      </w:r>
      <w:r>
        <w:rPr>
          <w:rFonts w:ascii="Verdana" w:hAnsi="Verdana"/>
          <w:b/>
          <w:sz w:val="20"/>
          <w:szCs w:val="20"/>
        </w:rPr>
        <w:t>ОБЩЕСТВЕНАТА ПОРЪЧКА</w:t>
      </w:r>
    </w:p>
    <w:p w:rsidR="000F627C" w:rsidRPr="009D320D" w:rsidRDefault="000F627C" w:rsidP="000F627C">
      <w:pPr>
        <w:pStyle w:val="NoSpacing"/>
        <w:spacing w:after="240" w:line="360" w:lineRule="auto"/>
        <w:ind w:firstLine="709"/>
        <w:jc w:val="both"/>
        <w:rPr>
          <w:rFonts w:ascii="Verdana" w:hAnsi="Verdana"/>
          <w:color w:val="000000" w:themeColor="text1"/>
          <w:sz w:val="20"/>
          <w:szCs w:val="20"/>
        </w:rPr>
      </w:pPr>
      <w:r w:rsidRPr="009D320D">
        <w:rPr>
          <w:rFonts w:ascii="Verdana" w:hAnsi="Verdana"/>
          <w:color w:val="000000" w:themeColor="text1"/>
          <w:sz w:val="20"/>
          <w:szCs w:val="20"/>
        </w:rPr>
        <w:t xml:space="preserve">Предмет на настоящата обществена поръчка е разработване на „Финансово-икономически </w:t>
      </w:r>
      <w:r w:rsidR="00CC6069">
        <w:rPr>
          <w:rFonts w:ascii="Verdana" w:hAnsi="Verdana"/>
          <w:color w:val="000000" w:themeColor="text1"/>
          <w:sz w:val="20"/>
          <w:szCs w:val="20"/>
        </w:rPr>
        <w:t>и производствен</w:t>
      </w:r>
      <w:r w:rsidR="00CC6069" w:rsidRPr="009D320D">
        <w:rPr>
          <w:rFonts w:ascii="Verdana" w:hAnsi="Verdana"/>
          <w:color w:val="000000" w:themeColor="text1"/>
          <w:sz w:val="20"/>
          <w:szCs w:val="20"/>
        </w:rPr>
        <w:t xml:space="preserve"> </w:t>
      </w:r>
      <w:r w:rsidRPr="009D320D">
        <w:rPr>
          <w:rFonts w:ascii="Verdana" w:hAnsi="Verdana"/>
          <w:color w:val="000000" w:themeColor="text1"/>
          <w:sz w:val="20"/>
          <w:szCs w:val="20"/>
        </w:rPr>
        <w:t>анализ</w:t>
      </w:r>
      <w:r w:rsidR="00CC6069">
        <w:rPr>
          <w:rFonts w:ascii="Verdana" w:hAnsi="Verdana"/>
          <w:color w:val="000000" w:themeColor="text1"/>
          <w:sz w:val="20"/>
          <w:szCs w:val="20"/>
          <w:lang w:val="en-US"/>
        </w:rPr>
        <w:t xml:space="preserve"> </w:t>
      </w:r>
      <w:r w:rsidRPr="009D320D">
        <w:rPr>
          <w:rFonts w:ascii="Verdana" w:hAnsi="Verdana"/>
          <w:color w:val="000000" w:themeColor="text1"/>
          <w:sz w:val="20"/>
          <w:szCs w:val="20"/>
        </w:rPr>
        <w:t>на предоставена концесия за добив на подземни природни богатства</w:t>
      </w:r>
      <w:r w:rsidRPr="009D320D">
        <w:rPr>
          <w:rFonts w:ascii="Verdana" w:hAnsi="Verdana"/>
          <w:color w:val="000000" w:themeColor="text1"/>
          <w:sz w:val="20"/>
          <w:szCs w:val="20"/>
          <w:lang w:val="en-US"/>
        </w:rPr>
        <w:t xml:space="preserve"> </w:t>
      </w:r>
      <w:r w:rsidR="00317072">
        <w:rPr>
          <w:rFonts w:ascii="Verdana" w:hAnsi="Verdana"/>
          <w:color w:val="000000" w:themeColor="text1"/>
          <w:sz w:val="20"/>
          <w:szCs w:val="20"/>
        </w:rPr>
        <w:t>от находище „Челопеч“ с цел</w:t>
      </w:r>
      <w:r w:rsidRPr="009D320D">
        <w:rPr>
          <w:rFonts w:ascii="Verdana" w:hAnsi="Verdana"/>
          <w:color w:val="000000" w:themeColor="text1"/>
          <w:sz w:val="20"/>
          <w:szCs w:val="20"/>
        </w:rPr>
        <w:t xml:space="preserve"> предприемане на действия за постигане на икономически баланс между ползите и рисковете за държавата и концесионера, от осъществяването на концесията“.</w:t>
      </w:r>
    </w:p>
    <w:p w:rsidR="0042474E" w:rsidRPr="00DD7EE4" w:rsidRDefault="0042474E" w:rsidP="0042474E">
      <w:pPr>
        <w:pStyle w:val="NoSpacing"/>
        <w:numPr>
          <w:ilvl w:val="0"/>
          <w:numId w:val="1"/>
        </w:numPr>
        <w:spacing w:after="240"/>
        <w:ind w:left="1134" w:hanging="425"/>
        <w:jc w:val="both"/>
        <w:rPr>
          <w:rFonts w:ascii="Verdana" w:hAnsi="Verdana"/>
          <w:b/>
          <w:strike/>
          <w:sz w:val="20"/>
          <w:szCs w:val="20"/>
        </w:rPr>
      </w:pPr>
      <w:r w:rsidRPr="0098471B">
        <w:rPr>
          <w:rFonts w:ascii="Verdana" w:hAnsi="Verdana"/>
          <w:b/>
          <w:sz w:val="20"/>
          <w:szCs w:val="20"/>
        </w:rPr>
        <w:t>ИЗИСКВАНИЯ ЗА ИЗПЪЛНЕНИЕ НА ПОРЪЧКАТА</w:t>
      </w:r>
      <w:r>
        <w:rPr>
          <w:rFonts w:ascii="Verdana" w:hAnsi="Verdana"/>
          <w:b/>
          <w:sz w:val="20"/>
          <w:szCs w:val="20"/>
        </w:rPr>
        <w:t xml:space="preserve"> </w:t>
      </w:r>
    </w:p>
    <w:p w:rsidR="0042474E" w:rsidRPr="00DD7EE4" w:rsidRDefault="00A5431A" w:rsidP="0042474E">
      <w:pPr>
        <w:pStyle w:val="NoSpacing"/>
        <w:spacing w:after="240"/>
        <w:ind w:firstLine="709"/>
        <w:jc w:val="both"/>
        <w:rPr>
          <w:rFonts w:ascii="Verdana" w:hAnsi="Verdana"/>
          <w:sz w:val="20"/>
          <w:szCs w:val="20"/>
        </w:rPr>
      </w:pPr>
      <w:r>
        <w:rPr>
          <w:rFonts w:ascii="Verdana" w:hAnsi="Verdana"/>
          <w:sz w:val="20"/>
          <w:szCs w:val="20"/>
        </w:rPr>
        <w:t>И</w:t>
      </w:r>
      <w:r w:rsidR="0042474E">
        <w:rPr>
          <w:rFonts w:ascii="Verdana" w:hAnsi="Verdana"/>
          <w:sz w:val="20"/>
          <w:szCs w:val="20"/>
        </w:rPr>
        <w:t>зпълнението на настоящата обществена поръчка</w:t>
      </w:r>
      <w:r>
        <w:rPr>
          <w:rFonts w:ascii="Verdana" w:hAnsi="Verdana"/>
          <w:sz w:val="20"/>
          <w:szCs w:val="20"/>
        </w:rPr>
        <w:t xml:space="preserve"> включва</w:t>
      </w:r>
      <w:r w:rsidR="0042474E">
        <w:rPr>
          <w:rFonts w:ascii="Verdana" w:hAnsi="Verdana"/>
          <w:sz w:val="20"/>
          <w:szCs w:val="20"/>
        </w:rPr>
        <w:t>:</w:t>
      </w:r>
    </w:p>
    <w:p w:rsidR="0042474E" w:rsidRPr="00CD3144" w:rsidRDefault="0042474E" w:rsidP="0042474E">
      <w:pPr>
        <w:pStyle w:val="NoSpacing"/>
        <w:numPr>
          <w:ilvl w:val="0"/>
          <w:numId w:val="2"/>
        </w:numPr>
        <w:spacing w:line="360" w:lineRule="auto"/>
        <w:ind w:left="0" w:firstLine="708"/>
        <w:jc w:val="both"/>
        <w:rPr>
          <w:rFonts w:ascii="Verdana" w:hAnsi="Verdana"/>
          <w:i/>
          <w:sz w:val="20"/>
          <w:szCs w:val="20"/>
        </w:rPr>
      </w:pPr>
      <w:r>
        <w:rPr>
          <w:rFonts w:ascii="Verdana" w:hAnsi="Verdana"/>
          <w:sz w:val="20"/>
          <w:szCs w:val="20"/>
        </w:rPr>
        <w:t>Да се направят</w:t>
      </w:r>
      <w:r w:rsidRPr="0062597E">
        <w:rPr>
          <w:rFonts w:ascii="Verdana" w:hAnsi="Verdana"/>
          <w:sz w:val="20"/>
          <w:szCs w:val="20"/>
        </w:rPr>
        <w:t xml:space="preserve"> </w:t>
      </w:r>
      <w:r>
        <w:rPr>
          <w:rFonts w:ascii="Verdana" w:hAnsi="Verdana"/>
          <w:sz w:val="20"/>
          <w:szCs w:val="20"/>
        </w:rPr>
        <w:t>м</w:t>
      </w:r>
      <w:r w:rsidRPr="0062597E">
        <w:rPr>
          <w:rFonts w:ascii="Verdana" w:hAnsi="Verdana"/>
          <w:sz w:val="20"/>
          <w:szCs w:val="20"/>
        </w:rPr>
        <w:t>инно-</w:t>
      </w:r>
      <w:r>
        <w:rPr>
          <w:rFonts w:ascii="Verdana" w:hAnsi="Verdana"/>
          <w:sz w:val="20"/>
          <w:szCs w:val="20"/>
        </w:rPr>
        <w:t xml:space="preserve">геоложка и производствено-технологична характеристики и технико-икономическа </w:t>
      </w:r>
      <w:r w:rsidRPr="00306964">
        <w:rPr>
          <w:rFonts w:ascii="Verdana" w:hAnsi="Verdana"/>
          <w:sz w:val="20"/>
          <w:szCs w:val="20"/>
        </w:rPr>
        <w:t xml:space="preserve">оценка </w:t>
      </w:r>
      <w:r>
        <w:rPr>
          <w:rFonts w:ascii="Verdana" w:hAnsi="Verdana"/>
          <w:sz w:val="20"/>
          <w:szCs w:val="20"/>
        </w:rPr>
        <w:t xml:space="preserve">на находище „Челопеч“ с цел, използването им като основа за изготвяне на </w:t>
      </w:r>
      <w:r w:rsidRPr="0098471B">
        <w:rPr>
          <w:rFonts w:ascii="Verdana" w:hAnsi="Verdana"/>
          <w:sz w:val="20"/>
          <w:szCs w:val="20"/>
        </w:rPr>
        <w:t>финансово-икономически анализ на предоставена на „</w:t>
      </w:r>
      <w:proofErr w:type="spellStart"/>
      <w:r w:rsidRPr="0098471B">
        <w:rPr>
          <w:rFonts w:ascii="Verdana" w:hAnsi="Verdana"/>
          <w:sz w:val="20"/>
          <w:szCs w:val="20"/>
        </w:rPr>
        <w:t>Дънди</w:t>
      </w:r>
      <w:proofErr w:type="spellEnd"/>
      <w:r w:rsidRPr="0098471B">
        <w:rPr>
          <w:rFonts w:ascii="Verdana" w:hAnsi="Verdana"/>
          <w:sz w:val="20"/>
          <w:szCs w:val="20"/>
        </w:rPr>
        <w:t xml:space="preserve"> </w:t>
      </w:r>
      <w:proofErr w:type="spellStart"/>
      <w:r w:rsidRPr="0098471B">
        <w:rPr>
          <w:rFonts w:ascii="Verdana" w:hAnsi="Verdana"/>
          <w:sz w:val="20"/>
          <w:szCs w:val="20"/>
        </w:rPr>
        <w:t>Пре</w:t>
      </w:r>
      <w:r w:rsidR="00306964">
        <w:rPr>
          <w:rFonts w:ascii="Verdana" w:hAnsi="Verdana"/>
          <w:sz w:val="20"/>
          <w:szCs w:val="20"/>
        </w:rPr>
        <w:t>ш</w:t>
      </w:r>
      <w:r w:rsidRPr="0098471B">
        <w:rPr>
          <w:rFonts w:ascii="Verdana" w:hAnsi="Verdana"/>
          <w:sz w:val="20"/>
          <w:szCs w:val="20"/>
        </w:rPr>
        <w:t>ъс</w:t>
      </w:r>
      <w:proofErr w:type="spellEnd"/>
      <w:r w:rsidRPr="0098471B">
        <w:rPr>
          <w:rFonts w:ascii="Verdana" w:hAnsi="Verdana"/>
          <w:sz w:val="20"/>
          <w:szCs w:val="20"/>
        </w:rPr>
        <w:t xml:space="preserve"> </w:t>
      </w:r>
      <w:proofErr w:type="spellStart"/>
      <w:r w:rsidRPr="0098471B">
        <w:rPr>
          <w:rFonts w:ascii="Verdana" w:hAnsi="Verdana"/>
          <w:sz w:val="20"/>
          <w:szCs w:val="20"/>
        </w:rPr>
        <w:t>Металс</w:t>
      </w:r>
      <w:proofErr w:type="spellEnd"/>
      <w:r w:rsidRPr="0098471B">
        <w:rPr>
          <w:rFonts w:ascii="Verdana" w:hAnsi="Verdana"/>
          <w:sz w:val="20"/>
          <w:szCs w:val="20"/>
        </w:rPr>
        <w:t xml:space="preserve"> Челопеч“ ЕАД концесия за подземни природни богатства – </w:t>
      </w:r>
      <w:proofErr w:type="spellStart"/>
      <w:r w:rsidRPr="0098471B">
        <w:rPr>
          <w:rFonts w:ascii="Verdana" w:hAnsi="Verdana"/>
          <w:sz w:val="20"/>
          <w:szCs w:val="20"/>
        </w:rPr>
        <w:t>златно-медно-пиритни</w:t>
      </w:r>
      <w:proofErr w:type="spellEnd"/>
      <w:r w:rsidRPr="0098471B">
        <w:rPr>
          <w:rFonts w:ascii="Verdana" w:hAnsi="Verdana"/>
          <w:sz w:val="20"/>
          <w:szCs w:val="20"/>
        </w:rPr>
        <w:t xml:space="preserve"> руди чрез добив от находище „Челопеч“</w:t>
      </w:r>
      <w:r>
        <w:rPr>
          <w:rFonts w:ascii="Verdana" w:hAnsi="Verdana"/>
          <w:sz w:val="20"/>
          <w:szCs w:val="20"/>
        </w:rPr>
        <w:t>;</w:t>
      </w:r>
    </w:p>
    <w:p w:rsidR="0042474E" w:rsidRPr="00AE20BC" w:rsidRDefault="0042474E" w:rsidP="0042474E">
      <w:pPr>
        <w:pStyle w:val="NoSpacing"/>
        <w:numPr>
          <w:ilvl w:val="0"/>
          <w:numId w:val="2"/>
        </w:numPr>
        <w:spacing w:line="360" w:lineRule="auto"/>
        <w:ind w:left="0" w:firstLine="708"/>
        <w:jc w:val="both"/>
        <w:rPr>
          <w:rFonts w:ascii="Verdana" w:hAnsi="Verdana"/>
          <w:i/>
          <w:color w:val="000000" w:themeColor="text1"/>
          <w:sz w:val="20"/>
          <w:szCs w:val="20"/>
        </w:rPr>
      </w:pPr>
      <w:r w:rsidRPr="00AE20BC">
        <w:rPr>
          <w:rFonts w:ascii="Verdana" w:hAnsi="Verdana"/>
          <w:color w:val="000000" w:themeColor="text1"/>
          <w:sz w:val="20"/>
          <w:szCs w:val="20"/>
        </w:rPr>
        <w:t>Да се направи анализ на цените на металите, съдържащи се в добиваната руда и се прогнозира изменението им за периода от 2017 г. до края на концесионния срок;</w:t>
      </w:r>
    </w:p>
    <w:p w:rsidR="0042474E" w:rsidRPr="00F141AA" w:rsidRDefault="0042474E" w:rsidP="0042474E">
      <w:pPr>
        <w:pStyle w:val="NoSpacing"/>
        <w:numPr>
          <w:ilvl w:val="0"/>
          <w:numId w:val="2"/>
        </w:numPr>
        <w:spacing w:line="360" w:lineRule="auto"/>
        <w:ind w:left="0" w:firstLine="708"/>
        <w:jc w:val="both"/>
        <w:rPr>
          <w:rFonts w:ascii="Verdana" w:hAnsi="Verdana"/>
          <w:b/>
          <w:i/>
          <w:sz w:val="20"/>
          <w:szCs w:val="20"/>
        </w:rPr>
      </w:pPr>
      <w:r>
        <w:rPr>
          <w:rFonts w:ascii="Verdana" w:hAnsi="Verdana"/>
          <w:sz w:val="20"/>
          <w:szCs w:val="20"/>
        </w:rPr>
        <w:t xml:space="preserve">Да се направи изследване и оценка на начина за определяне на концесионното възнаграждение за находище „Челопеч“, прилаган от момента на предоставяне на концесията до </w:t>
      </w:r>
      <w:r w:rsidRPr="00AE20BC">
        <w:rPr>
          <w:rFonts w:ascii="Verdana" w:hAnsi="Verdana"/>
          <w:sz w:val="20"/>
          <w:szCs w:val="20"/>
        </w:rPr>
        <w:t>края на 2016 г.</w:t>
      </w:r>
      <w:r w:rsidRPr="00F141AA">
        <w:rPr>
          <w:rFonts w:ascii="Verdana" w:hAnsi="Verdana"/>
          <w:i/>
          <w:sz w:val="20"/>
          <w:szCs w:val="20"/>
        </w:rPr>
        <w:t xml:space="preserve"> </w:t>
      </w:r>
      <w:r>
        <w:rPr>
          <w:rFonts w:ascii="Verdana" w:hAnsi="Verdana"/>
          <w:sz w:val="20"/>
          <w:szCs w:val="20"/>
        </w:rPr>
        <w:t>(по години), анализ на факторите, влияещи върху него и се посочат причинно-следствените връзки и зависимости между тях;</w:t>
      </w:r>
    </w:p>
    <w:p w:rsidR="003225CF" w:rsidRDefault="0042474E" w:rsidP="003225CF">
      <w:pPr>
        <w:pStyle w:val="NoSpacing"/>
        <w:numPr>
          <w:ilvl w:val="0"/>
          <w:numId w:val="2"/>
        </w:numPr>
        <w:spacing w:line="360" w:lineRule="auto"/>
        <w:ind w:left="0" w:firstLine="708"/>
        <w:jc w:val="both"/>
        <w:rPr>
          <w:rFonts w:ascii="Verdana" w:hAnsi="Verdana"/>
          <w:b/>
          <w:i/>
          <w:sz w:val="20"/>
          <w:szCs w:val="20"/>
        </w:rPr>
      </w:pPr>
      <w:r w:rsidRPr="004138F3">
        <w:rPr>
          <w:rFonts w:ascii="Verdana" w:hAnsi="Verdana"/>
          <w:sz w:val="20"/>
          <w:szCs w:val="20"/>
        </w:rPr>
        <w:t xml:space="preserve">Да се направи изследване и оценка на начина за определяне на концесионното възнаграждение за находище „Челопеч“ за периода от </w:t>
      </w:r>
      <w:r w:rsidRPr="004138F3">
        <w:rPr>
          <w:rFonts w:ascii="Verdana" w:hAnsi="Verdana"/>
          <w:i/>
          <w:sz w:val="20"/>
          <w:szCs w:val="20"/>
        </w:rPr>
        <w:t xml:space="preserve">2017 г. до края на концесионния срок съгласно </w:t>
      </w:r>
      <w:r w:rsidRPr="004138F3">
        <w:rPr>
          <w:rFonts w:ascii="Verdana" w:hAnsi="Verdana"/>
          <w:sz w:val="20"/>
          <w:szCs w:val="20"/>
        </w:rPr>
        <w:t>Методиката за определяне на конкретния размер на концесионното възнаграждение за метални полезни изкопаеми, за неметални полезни изкопаеми – индустриални минерали и за скъпоценни камъни, Приложение № 3 към чл. 10 от Наредбата за принципите и методиката за определяне на концесионното възнаграждение за добив на подземни богатства по реда на Закона за подземните богатства (</w:t>
      </w:r>
      <w:proofErr w:type="spellStart"/>
      <w:r w:rsidRPr="004138F3">
        <w:rPr>
          <w:rFonts w:ascii="Verdana" w:hAnsi="Verdana"/>
          <w:sz w:val="20"/>
          <w:szCs w:val="20"/>
        </w:rPr>
        <w:t>обн</w:t>
      </w:r>
      <w:proofErr w:type="spellEnd"/>
      <w:r w:rsidRPr="004138F3">
        <w:rPr>
          <w:rFonts w:ascii="Verdana" w:hAnsi="Verdana"/>
          <w:sz w:val="20"/>
          <w:szCs w:val="20"/>
        </w:rPr>
        <w:t xml:space="preserve">. ДВ, бр. 59/29.06.1999г., изм. и доп. </w:t>
      </w:r>
      <w:r w:rsidRPr="004138F3">
        <w:rPr>
          <w:rFonts w:ascii="Verdana" w:hAnsi="Verdana"/>
          <w:sz w:val="20"/>
          <w:szCs w:val="20"/>
        </w:rPr>
        <w:lastRenderedPageBreak/>
        <w:t>ДВ, бр. 46 от 2007г.) и анализ на факторите, влияещи върху него и се посочат причинно-следствените връзки и зависимости между тях;</w:t>
      </w:r>
    </w:p>
    <w:p w:rsidR="0042474E" w:rsidRPr="003225CF" w:rsidRDefault="0042474E" w:rsidP="003225CF">
      <w:pPr>
        <w:pStyle w:val="NoSpacing"/>
        <w:numPr>
          <w:ilvl w:val="0"/>
          <w:numId w:val="2"/>
        </w:numPr>
        <w:spacing w:line="360" w:lineRule="auto"/>
        <w:ind w:left="0" w:firstLine="708"/>
        <w:jc w:val="both"/>
        <w:rPr>
          <w:rFonts w:ascii="Verdana" w:hAnsi="Verdana"/>
          <w:b/>
          <w:i/>
          <w:sz w:val="20"/>
          <w:szCs w:val="20"/>
        </w:rPr>
      </w:pPr>
      <w:r w:rsidRPr="003225CF">
        <w:rPr>
          <w:rFonts w:ascii="Verdana" w:hAnsi="Verdana"/>
          <w:sz w:val="20"/>
          <w:szCs w:val="20"/>
        </w:rPr>
        <w:t xml:space="preserve">Да се направи сравнителен анализ между прилагания към настоящия момент начин за определяне на концесионното възнаграждение и начина, </w:t>
      </w:r>
      <w:r w:rsidR="003225CF" w:rsidRPr="003225CF">
        <w:rPr>
          <w:rFonts w:ascii="Verdana" w:hAnsi="Verdana"/>
          <w:sz w:val="20"/>
          <w:szCs w:val="20"/>
        </w:rPr>
        <w:t xml:space="preserve">определен с ПМС № 128 от 04.06.2007 г., с което са направени изменения в Приложение № 3  „Методика за определяне на конкретния размер на концесионното възнаграждение за метални полезни изкопаеми, за неметални полезни изкопаеми – индустриални минерали и за скъпоценни и </w:t>
      </w:r>
      <w:proofErr w:type="spellStart"/>
      <w:r w:rsidR="003225CF" w:rsidRPr="003225CF">
        <w:rPr>
          <w:rFonts w:ascii="Verdana" w:hAnsi="Verdana"/>
          <w:sz w:val="20"/>
          <w:szCs w:val="20"/>
        </w:rPr>
        <w:t>полускъпоценни</w:t>
      </w:r>
      <w:proofErr w:type="spellEnd"/>
      <w:r w:rsidR="003225CF" w:rsidRPr="003225CF">
        <w:rPr>
          <w:rFonts w:ascii="Verdana" w:hAnsi="Verdana"/>
          <w:sz w:val="20"/>
          <w:szCs w:val="20"/>
        </w:rPr>
        <w:t xml:space="preserve"> камъни“</w:t>
      </w:r>
      <w:r w:rsidRPr="003225CF">
        <w:rPr>
          <w:rFonts w:ascii="Verdana" w:hAnsi="Verdana"/>
          <w:sz w:val="20"/>
          <w:szCs w:val="20"/>
        </w:rPr>
        <w:t xml:space="preserve">; Да се посочат предимствата и недостатъците на посочените по-горе начини и влиянието им върху ползите и рисковете за </w:t>
      </w:r>
      <w:proofErr w:type="spellStart"/>
      <w:r w:rsidRPr="003225CF">
        <w:rPr>
          <w:rFonts w:ascii="Verdana" w:hAnsi="Verdana"/>
          <w:sz w:val="20"/>
          <w:szCs w:val="20"/>
        </w:rPr>
        <w:t>концедента</w:t>
      </w:r>
      <w:proofErr w:type="spellEnd"/>
      <w:r w:rsidRPr="003225CF">
        <w:rPr>
          <w:rFonts w:ascii="Verdana" w:hAnsi="Verdana"/>
          <w:sz w:val="20"/>
          <w:szCs w:val="20"/>
        </w:rPr>
        <w:t xml:space="preserve"> (държавата) и концесионера („</w:t>
      </w:r>
      <w:proofErr w:type="spellStart"/>
      <w:r w:rsidRPr="003225CF">
        <w:rPr>
          <w:rFonts w:ascii="Verdana" w:hAnsi="Verdana"/>
          <w:sz w:val="20"/>
          <w:szCs w:val="20"/>
        </w:rPr>
        <w:t>Дънди</w:t>
      </w:r>
      <w:proofErr w:type="spellEnd"/>
      <w:r w:rsidRPr="003225CF">
        <w:rPr>
          <w:rFonts w:ascii="Verdana" w:hAnsi="Verdana"/>
          <w:sz w:val="20"/>
          <w:szCs w:val="20"/>
        </w:rPr>
        <w:t xml:space="preserve"> </w:t>
      </w:r>
      <w:proofErr w:type="spellStart"/>
      <w:r w:rsidRPr="003225CF">
        <w:rPr>
          <w:rFonts w:ascii="Verdana" w:hAnsi="Verdana"/>
          <w:sz w:val="20"/>
          <w:szCs w:val="20"/>
        </w:rPr>
        <w:t>Пре</w:t>
      </w:r>
      <w:r w:rsidR="00306964" w:rsidRPr="003225CF">
        <w:rPr>
          <w:rFonts w:ascii="Verdana" w:hAnsi="Verdana"/>
          <w:sz w:val="20"/>
          <w:szCs w:val="20"/>
        </w:rPr>
        <w:t>ш</w:t>
      </w:r>
      <w:r w:rsidRPr="003225CF">
        <w:rPr>
          <w:rFonts w:ascii="Verdana" w:hAnsi="Verdana"/>
          <w:sz w:val="20"/>
          <w:szCs w:val="20"/>
        </w:rPr>
        <w:t>ъс</w:t>
      </w:r>
      <w:proofErr w:type="spellEnd"/>
      <w:r w:rsidRPr="003225CF">
        <w:rPr>
          <w:rFonts w:ascii="Verdana" w:hAnsi="Verdana"/>
          <w:sz w:val="20"/>
          <w:szCs w:val="20"/>
        </w:rPr>
        <w:t xml:space="preserve"> </w:t>
      </w:r>
      <w:proofErr w:type="spellStart"/>
      <w:r w:rsidRPr="003225CF">
        <w:rPr>
          <w:rFonts w:ascii="Verdana" w:hAnsi="Verdana"/>
          <w:sz w:val="20"/>
          <w:szCs w:val="20"/>
        </w:rPr>
        <w:t>Металс</w:t>
      </w:r>
      <w:proofErr w:type="spellEnd"/>
      <w:r w:rsidRPr="003225CF">
        <w:rPr>
          <w:rFonts w:ascii="Verdana" w:hAnsi="Verdana"/>
          <w:sz w:val="20"/>
          <w:szCs w:val="20"/>
        </w:rPr>
        <w:t xml:space="preserve"> Челопеч“ ЕАД) от </w:t>
      </w:r>
      <w:r w:rsidRPr="003225CF">
        <w:rPr>
          <w:rFonts w:ascii="Verdana" w:hAnsi="Verdana"/>
          <w:i/>
          <w:sz w:val="20"/>
          <w:szCs w:val="20"/>
        </w:rPr>
        <w:t xml:space="preserve">осъществяването </w:t>
      </w:r>
      <w:r w:rsidRPr="003225CF">
        <w:rPr>
          <w:rFonts w:ascii="Verdana" w:hAnsi="Verdana"/>
          <w:sz w:val="20"/>
          <w:szCs w:val="20"/>
        </w:rPr>
        <w:t>на концесията;</w:t>
      </w:r>
    </w:p>
    <w:p w:rsidR="0042474E" w:rsidRDefault="0042474E" w:rsidP="0042474E">
      <w:pPr>
        <w:pStyle w:val="NoSpacing"/>
        <w:numPr>
          <w:ilvl w:val="0"/>
          <w:numId w:val="2"/>
        </w:numPr>
        <w:spacing w:line="360" w:lineRule="auto"/>
        <w:ind w:left="0" w:firstLine="709"/>
        <w:jc w:val="both"/>
        <w:rPr>
          <w:rFonts w:ascii="Verdana" w:hAnsi="Verdana"/>
          <w:sz w:val="20"/>
          <w:szCs w:val="20"/>
        </w:rPr>
      </w:pPr>
      <w:r>
        <w:rPr>
          <w:rFonts w:ascii="Verdana" w:hAnsi="Verdana"/>
          <w:sz w:val="20"/>
          <w:szCs w:val="20"/>
        </w:rPr>
        <w:t>Д</w:t>
      </w:r>
      <w:r w:rsidRPr="00015394">
        <w:rPr>
          <w:rFonts w:ascii="Verdana" w:hAnsi="Verdana"/>
          <w:sz w:val="20"/>
          <w:szCs w:val="20"/>
        </w:rPr>
        <w:t xml:space="preserve">а се </w:t>
      </w:r>
      <w:r>
        <w:rPr>
          <w:rFonts w:ascii="Verdana" w:hAnsi="Verdana"/>
          <w:sz w:val="20"/>
          <w:szCs w:val="20"/>
        </w:rPr>
        <w:t xml:space="preserve">обоснове и предложи начин за определяне на концесионното възнаграждение за находище „Челопеч“, осигуряващ икономически баланс между ползите и рисковете за </w:t>
      </w:r>
      <w:proofErr w:type="spellStart"/>
      <w:r>
        <w:rPr>
          <w:rFonts w:ascii="Verdana" w:hAnsi="Verdana"/>
          <w:sz w:val="20"/>
          <w:szCs w:val="20"/>
        </w:rPr>
        <w:t>концедента</w:t>
      </w:r>
      <w:proofErr w:type="spellEnd"/>
      <w:r>
        <w:rPr>
          <w:rFonts w:ascii="Verdana" w:hAnsi="Verdana"/>
          <w:sz w:val="20"/>
          <w:szCs w:val="20"/>
        </w:rPr>
        <w:t xml:space="preserve"> и концесионера и съобразен с Наредбата за принципите и методиката за определяне на концесионното възнаграждение за добив на подземни богатства по реда на Закона за подземните богатства;</w:t>
      </w:r>
    </w:p>
    <w:p w:rsidR="00926DAF" w:rsidRDefault="00926DAF" w:rsidP="0042474E">
      <w:pPr>
        <w:pStyle w:val="NoSpacing"/>
        <w:numPr>
          <w:ilvl w:val="0"/>
          <w:numId w:val="2"/>
        </w:numPr>
        <w:spacing w:line="360" w:lineRule="auto"/>
        <w:ind w:left="0" w:firstLine="709"/>
        <w:jc w:val="both"/>
        <w:rPr>
          <w:rFonts w:ascii="Verdana" w:hAnsi="Verdana"/>
          <w:sz w:val="20"/>
          <w:szCs w:val="20"/>
        </w:rPr>
      </w:pPr>
      <w:r>
        <w:rPr>
          <w:rFonts w:ascii="Verdana" w:hAnsi="Verdana"/>
          <w:sz w:val="20"/>
          <w:szCs w:val="20"/>
        </w:rPr>
        <w:t>Да</w:t>
      </w:r>
      <w:r w:rsidR="003225CF">
        <w:rPr>
          <w:rFonts w:ascii="Verdana" w:hAnsi="Verdana"/>
          <w:sz w:val="20"/>
          <w:szCs w:val="20"/>
        </w:rPr>
        <w:t xml:space="preserve"> се</w:t>
      </w:r>
      <w:r>
        <w:rPr>
          <w:rFonts w:ascii="Verdana" w:hAnsi="Verdana"/>
          <w:sz w:val="20"/>
          <w:szCs w:val="20"/>
        </w:rPr>
        <w:t xml:space="preserve"> предложи начин за определяне на концесионно възнаграждение за находище „Челопеч“, осигуряващо постигане на икономически баланс между ползите и рисковете за </w:t>
      </w:r>
      <w:proofErr w:type="spellStart"/>
      <w:r>
        <w:rPr>
          <w:rFonts w:ascii="Verdana" w:hAnsi="Verdana"/>
          <w:sz w:val="20"/>
          <w:szCs w:val="20"/>
        </w:rPr>
        <w:t>концедента</w:t>
      </w:r>
      <w:proofErr w:type="spellEnd"/>
      <w:r>
        <w:rPr>
          <w:rFonts w:ascii="Verdana" w:hAnsi="Verdana"/>
          <w:sz w:val="20"/>
          <w:szCs w:val="20"/>
        </w:rPr>
        <w:t xml:space="preserve"> (държавата) и концесионера, като </w:t>
      </w:r>
      <w:r w:rsidR="004610DE">
        <w:rPr>
          <w:rFonts w:ascii="Verdana" w:hAnsi="Verdana"/>
          <w:sz w:val="20"/>
          <w:szCs w:val="20"/>
        </w:rPr>
        <w:t xml:space="preserve">се </w:t>
      </w:r>
      <w:r>
        <w:rPr>
          <w:rFonts w:ascii="Verdana" w:hAnsi="Verdana"/>
          <w:sz w:val="20"/>
          <w:szCs w:val="20"/>
        </w:rPr>
        <w:t xml:space="preserve">направи референция (ако е приложимо) към необходими нормативни изменения; </w:t>
      </w:r>
    </w:p>
    <w:p w:rsidR="00945D8F" w:rsidRDefault="0042474E" w:rsidP="0042474E">
      <w:pPr>
        <w:pStyle w:val="NoSpacing"/>
        <w:numPr>
          <w:ilvl w:val="0"/>
          <w:numId w:val="2"/>
        </w:numPr>
        <w:spacing w:line="360" w:lineRule="auto"/>
        <w:ind w:left="0" w:firstLine="709"/>
        <w:jc w:val="both"/>
        <w:rPr>
          <w:rFonts w:ascii="Verdana" w:hAnsi="Verdana"/>
          <w:sz w:val="20"/>
          <w:szCs w:val="20"/>
        </w:rPr>
      </w:pPr>
      <w:r w:rsidRPr="0042474E">
        <w:rPr>
          <w:rFonts w:ascii="Verdana" w:hAnsi="Verdana"/>
          <w:sz w:val="20"/>
          <w:szCs w:val="20"/>
        </w:rPr>
        <w:t>Получените резултати по т.</w:t>
      </w:r>
      <w:proofErr w:type="spellStart"/>
      <w:r w:rsidRPr="0042474E">
        <w:rPr>
          <w:rFonts w:ascii="Verdana" w:hAnsi="Verdana"/>
          <w:sz w:val="20"/>
          <w:szCs w:val="20"/>
        </w:rPr>
        <w:t>т</w:t>
      </w:r>
      <w:proofErr w:type="spellEnd"/>
      <w:r w:rsidRPr="0042474E">
        <w:rPr>
          <w:rFonts w:ascii="Verdana" w:hAnsi="Verdana"/>
          <w:sz w:val="20"/>
          <w:szCs w:val="20"/>
        </w:rPr>
        <w:t>. 1÷</w:t>
      </w:r>
      <w:r>
        <w:rPr>
          <w:rFonts w:ascii="Verdana" w:hAnsi="Verdana"/>
          <w:sz w:val="20"/>
          <w:szCs w:val="20"/>
        </w:rPr>
        <w:t>7</w:t>
      </w:r>
      <w:r w:rsidRPr="0042474E">
        <w:rPr>
          <w:rFonts w:ascii="Verdana" w:hAnsi="Verdana"/>
          <w:sz w:val="20"/>
          <w:szCs w:val="20"/>
        </w:rPr>
        <w:t xml:space="preserve"> да се използват за разработване на финансово-икономически</w:t>
      </w:r>
      <w:r w:rsidR="00A5431A">
        <w:rPr>
          <w:rFonts w:ascii="Verdana" w:hAnsi="Verdana"/>
          <w:sz w:val="20"/>
          <w:szCs w:val="20"/>
        </w:rPr>
        <w:t xml:space="preserve"> и производствен</w:t>
      </w:r>
      <w:r w:rsidRPr="0042474E">
        <w:rPr>
          <w:rFonts w:ascii="Verdana" w:hAnsi="Verdana"/>
          <w:sz w:val="20"/>
          <w:szCs w:val="20"/>
        </w:rPr>
        <w:t xml:space="preserve"> анализ на предоставената</w:t>
      </w:r>
      <w:r w:rsidR="00A5431A">
        <w:rPr>
          <w:rFonts w:ascii="Verdana" w:hAnsi="Verdana"/>
          <w:sz w:val="20"/>
          <w:szCs w:val="20"/>
        </w:rPr>
        <w:t xml:space="preserve"> за находище „Челопеч“ концесия</w:t>
      </w:r>
      <w:r w:rsidRPr="0042474E">
        <w:rPr>
          <w:rFonts w:ascii="Verdana" w:hAnsi="Verdana"/>
          <w:sz w:val="20"/>
          <w:szCs w:val="20"/>
        </w:rPr>
        <w:t>.</w:t>
      </w:r>
    </w:p>
    <w:p w:rsidR="005B1B6C" w:rsidRDefault="005B1B6C" w:rsidP="005B1B6C">
      <w:pPr>
        <w:pStyle w:val="NoSpacing"/>
        <w:spacing w:line="360" w:lineRule="auto"/>
        <w:ind w:left="709"/>
        <w:jc w:val="both"/>
        <w:rPr>
          <w:rFonts w:ascii="Verdana" w:hAnsi="Verdana"/>
          <w:sz w:val="20"/>
          <w:szCs w:val="20"/>
        </w:rPr>
      </w:pPr>
    </w:p>
    <w:p w:rsidR="005B1B6C" w:rsidRPr="005B1B6C" w:rsidRDefault="005B1B6C" w:rsidP="005B1B6C">
      <w:pPr>
        <w:pStyle w:val="NoSpacing"/>
        <w:numPr>
          <w:ilvl w:val="0"/>
          <w:numId w:val="1"/>
        </w:numPr>
        <w:spacing w:after="120" w:line="360" w:lineRule="auto"/>
        <w:ind w:left="1134" w:hanging="425"/>
        <w:jc w:val="both"/>
        <w:rPr>
          <w:rFonts w:ascii="Verdana" w:hAnsi="Verdana"/>
          <w:b/>
          <w:color w:val="000000" w:themeColor="text1"/>
          <w:sz w:val="20"/>
          <w:szCs w:val="20"/>
        </w:rPr>
      </w:pPr>
      <w:r w:rsidRPr="005B1B6C">
        <w:rPr>
          <w:rFonts w:ascii="Verdana" w:hAnsi="Verdana"/>
          <w:b/>
          <w:color w:val="000000" w:themeColor="text1"/>
          <w:sz w:val="20"/>
          <w:szCs w:val="20"/>
        </w:rPr>
        <w:t>ОЧАКВАНИ РЕЗУЛТАТИ</w:t>
      </w:r>
    </w:p>
    <w:p w:rsidR="005B1B6C" w:rsidRPr="005B1B6C" w:rsidRDefault="005B1B6C" w:rsidP="005B1B6C">
      <w:pPr>
        <w:pStyle w:val="ListParagraph"/>
        <w:numPr>
          <w:ilvl w:val="0"/>
          <w:numId w:val="3"/>
        </w:numPr>
        <w:spacing w:after="0" w:line="360" w:lineRule="auto"/>
        <w:ind w:left="0" w:firstLine="709"/>
        <w:jc w:val="both"/>
        <w:rPr>
          <w:rFonts w:ascii="Verdana" w:hAnsi="Verdana"/>
          <w:color w:val="000000" w:themeColor="text1"/>
          <w:sz w:val="20"/>
          <w:szCs w:val="20"/>
        </w:rPr>
      </w:pPr>
      <w:r w:rsidRPr="005B1B6C">
        <w:rPr>
          <w:rFonts w:ascii="Verdana" w:hAnsi="Verdana"/>
          <w:color w:val="000000" w:themeColor="text1"/>
          <w:sz w:val="20"/>
          <w:szCs w:val="20"/>
        </w:rPr>
        <w:t>Актуализиране на данните, определящи параметрите на концесията към настоящия момент и до края на концесионния срок;</w:t>
      </w:r>
    </w:p>
    <w:p w:rsidR="005B1B6C" w:rsidRPr="005B1B6C" w:rsidRDefault="005B1B6C" w:rsidP="005B1B6C">
      <w:pPr>
        <w:pStyle w:val="ListParagraph"/>
        <w:numPr>
          <w:ilvl w:val="0"/>
          <w:numId w:val="3"/>
        </w:numPr>
        <w:spacing w:after="0" w:line="360" w:lineRule="auto"/>
        <w:ind w:left="0" w:firstLine="709"/>
        <w:jc w:val="both"/>
        <w:rPr>
          <w:rFonts w:ascii="Verdana" w:hAnsi="Verdana"/>
          <w:color w:val="000000" w:themeColor="text1"/>
          <w:sz w:val="20"/>
          <w:szCs w:val="20"/>
        </w:rPr>
      </w:pPr>
      <w:r w:rsidRPr="005B1B6C">
        <w:rPr>
          <w:rFonts w:ascii="Verdana" w:hAnsi="Verdana"/>
          <w:color w:val="000000" w:themeColor="text1"/>
          <w:sz w:val="20"/>
          <w:szCs w:val="20"/>
        </w:rPr>
        <w:t>Анализ на рентабилността на концесията при актуалните към момента съдържания на металите в добиваните количества руда;</w:t>
      </w:r>
    </w:p>
    <w:p w:rsidR="005B1B6C" w:rsidRPr="005B1B6C" w:rsidRDefault="005B1B6C" w:rsidP="005B1B6C">
      <w:pPr>
        <w:pStyle w:val="ListParagraph"/>
        <w:numPr>
          <w:ilvl w:val="0"/>
          <w:numId w:val="3"/>
        </w:numPr>
        <w:spacing w:after="0" w:line="360" w:lineRule="auto"/>
        <w:ind w:left="0" w:firstLine="709"/>
        <w:jc w:val="both"/>
        <w:rPr>
          <w:rFonts w:ascii="Verdana" w:hAnsi="Verdana"/>
          <w:color w:val="000000" w:themeColor="text1"/>
          <w:sz w:val="20"/>
          <w:szCs w:val="20"/>
        </w:rPr>
      </w:pPr>
      <w:r w:rsidRPr="005B1B6C">
        <w:rPr>
          <w:rFonts w:ascii="Verdana" w:hAnsi="Verdana"/>
          <w:color w:val="000000" w:themeColor="text1"/>
          <w:sz w:val="20"/>
          <w:szCs w:val="20"/>
        </w:rPr>
        <w:t>Анализ на рентабилността на концесията при актуалните към момента цени на металите;</w:t>
      </w:r>
    </w:p>
    <w:p w:rsidR="005B1B6C" w:rsidRPr="005B1B6C" w:rsidRDefault="005B1B6C" w:rsidP="005B1B6C">
      <w:pPr>
        <w:pStyle w:val="ListParagraph"/>
        <w:numPr>
          <w:ilvl w:val="0"/>
          <w:numId w:val="3"/>
        </w:numPr>
        <w:spacing w:after="0" w:line="360" w:lineRule="auto"/>
        <w:ind w:left="0" w:firstLine="709"/>
        <w:jc w:val="both"/>
        <w:rPr>
          <w:rFonts w:ascii="Verdana" w:hAnsi="Verdana"/>
          <w:color w:val="000000" w:themeColor="text1"/>
          <w:sz w:val="20"/>
          <w:szCs w:val="20"/>
        </w:rPr>
      </w:pPr>
      <w:r w:rsidRPr="005B1B6C">
        <w:rPr>
          <w:rFonts w:ascii="Verdana" w:hAnsi="Verdana"/>
          <w:color w:val="000000" w:themeColor="text1"/>
          <w:sz w:val="20"/>
          <w:szCs w:val="20"/>
        </w:rPr>
        <w:t>Разработване на модел на плащане, обвързан с рентабилността от дейността по концесията към настоящия момент;</w:t>
      </w:r>
    </w:p>
    <w:p w:rsidR="005B1B6C" w:rsidRDefault="005B1B6C" w:rsidP="005B1B6C">
      <w:pPr>
        <w:pStyle w:val="ListParagraph"/>
        <w:numPr>
          <w:ilvl w:val="0"/>
          <w:numId w:val="3"/>
        </w:numPr>
        <w:spacing w:after="240" w:line="360" w:lineRule="auto"/>
        <w:ind w:left="0" w:firstLine="709"/>
        <w:jc w:val="both"/>
        <w:rPr>
          <w:rFonts w:ascii="Verdana" w:hAnsi="Verdana"/>
          <w:color w:val="000000" w:themeColor="text1"/>
          <w:sz w:val="20"/>
          <w:szCs w:val="20"/>
        </w:rPr>
      </w:pPr>
      <w:r w:rsidRPr="005B1B6C">
        <w:rPr>
          <w:rFonts w:ascii="Verdana" w:hAnsi="Verdana"/>
          <w:color w:val="000000" w:themeColor="text1"/>
          <w:sz w:val="20"/>
          <w:szCs w:val="20"/>
        </w:rPr>
        <w:t xml:space="preserve">Прогноза за разпределяне на ползите и риска между концесионера и </w:t>
      </w:r>
      <w:proofErr w:type="spellStart"/>
      <w:r w:rsidRPr="005B1B6C">
        <w:rPr>
          <w:rFonts w:ascii="Verdana" w:hAnsi="Verdana"/>
          <w:color w:val="000000" w:themeColor="text1"/>
          <w:sz w:val="20"/>
          <w:szCs w:val="20"/>
        </w:rPr>
        <w:t>концедента</w:t>
      </w:r>
      <w:proofErr w:type="spellEnd"/>
      <w:r w:rsidRPr="005B1B6C">
        <w:rPr>
          <w:rFonts w:ascii="Verdana" w:hAnsi="Verdana"/>
          <w:color w:val="000000" w:themeColor="text1"/>
          <w:sz w:val="20"/>
          <w:szCs w:val="20"/>
        </w:rPr>
        <w:t>.</w:t>
      </w:r>
    </w:p>
    <w:p w:rsidR="005B1B6C" w:rsidRDefault="005B1B6C" w:rsidP="005B1B6C">
      <w:pPr>
        <w:pStyle w:val="ListParagraph"/>
        <w:spacing w:after="240" w:line="360" w:lineRule="auto"/>
        <w:ind w:left="709"/>
        <w:jc w:val="both"/>
        <w:rPr>
          <w:rFonts w:ascii="Verdana" w:hAnsi="Verdana"/>
          <w:color w:val="000000" w:themeColor="text1"/>
          <w:sz w:val="20"/>
          <w:szCs w:val="20"/>
        </w:rPr>
      </w:pPr>
    </w:p>
    <w:p w:rsidR="005B1B6C" w:rsidRPr="005B1B6C" w:rsidRDefault="005B1B6C" w:rsidP="005B1B6C">
      <w:pPr>
        <w:pStyle w:val="NoSpacing"/>
        <w:numPr>
          <w:ilvl w:val="0"/>
          <w:numId w:val="1"/>
        </w:numPr>
        <w:spacing w:line="360" w:lineRule="auto"/>
        <w:ind w:left="1418" w:hanging="709"/>
        <w:jc w:val="both"/>
        <w:rPr>
          <w:rFonts w:ascii="Verdana" w:hAnsi="Verdana"/>
          <w:b/>
          <w:color w:val="000000" w:themeColor="text1"/>
          <w:sz w:val="20"/>
          <w:szCs w:val="20"/>
        </w:rPr>
      </w:pPr>
      <w:r w:rsidRPr="005B1B6C">
        <w:rPr>
          <w:rFonts w:ascii="Verdana" w:hAnsi="Verdana"/>
          <w:b/>
          <w:color w:val="000000" w:themeColor="text1"/>
          <w:sz w:val="20"/>
          <w:szCs w:val="20"/>
        </w:rPr>
        <w:t xml:space="preserve">ИЗИСКВАНИЯ КЪМ ИЗПЪЛНИТЕЛЯ </w:t>
      </w:r>
    </w:p>
    <w:p w:rsidR="005B1B6C" w:rsidRPr="005B1B6C" w:rsidRDefault="005B1B6C" w:rsidP="005B1B6C">
      <w:pPr>
        <w:pStyle w:val="NoSpacing"/>
        <w:spacing w:after="240" w:line="360" w:lineRule="auto"/>
        <w:ind w:firstLine="708"/>
        <w:jc w:val="both"/>
        <w:rPr>
          <w:rFonts w:ascii="Verdana" w:hAnsi="Verdana"/>
          <w:color w:val="000000" w:themeColor="text1"/>
          <w:sz w:val="20"/>
          <w:szCs w:val="20"/>
        </w:rPr>
      </w:pPr>
      <w:r w:rsidRPr="005B1B6C">
        <w:rPr>
          <w:rFonts w:ascii="Verdana" w:hAnsi="Verdana"/>
          <w:color w:val="000000" w:themeColor="text1"/>
          <w:sz w:val="20"/>
          <w:szCs w:val="20"/>
        </w:rPr>
        <w:lastRenderedPageBreak/>
        <w:t>Изпълнителят да вземе предвид и спазва изискванията на Закона за подземните богатства, Закона за Концесиите, Правилника за прилагане на закона за концесиите, Наредбата за принципите и методиката за определяне на концесионното възнаграждение за добив на подземни богатства (</w:t>
      </w:r>
      <w:proofErr w:type="spellStart"/>
      <w:r w:rsidRPr="005B1B6C">
        <w:rPr>
          <w:rFonts w:ascii="Verdana" w:hAnsi="Verdana"/>
          <w:color w:val="000000" w:themeColor="text1"/>
          <w:sz w:val="20"/>
          <w:szCs w:val="20"/>
        </w:rPr>
        <w:t>Обн</w:t>
      </w:r>
      <w:proofErr w:type="spellEnd"/>
      <w:r w:rsidRPr="005B1B6C">
        <w:rPr>
          <w:rFonts w:ascii="Verdana" w:hAnsi="Verdana"/>
          <w:color w:val="000000" w:themeColor="text1"/>
          <w:sz w:val="20"/>
          <w:szCs w:val="20"/>
        </w:rPr>
        <w:t xml:space="preserve">. – ДВ, бр. 59 от 29.06.1999 г., </w:t>
      </w:r>
      <w:r w:rsidR="004610DE">
        <w:rPr>
          <w:rFonts w:ascii="Verdana" w:hAnsi="Verdana"/>
          <w:color w:val="000000" w:themeColor="text1"/>
          <w:sz w:val="20"/>
          <w:szCs w:val="20"/>
        </w:rPr>
        <w:t>изм. и доп., бр. 46 от 2007 г.)</w:t>
      </w:r>
      <w:r w:rsidRPr="005B1B6C">
        <w:rPr>
          <w:rFonts w:ascii="Verdana" w:hAnsi="Verdana"/>
          <w:color w:val="000000" w:themeColor="text1"/>
          <w:sz w:val="20"/>
          <w:szCs w:val="20"/>
        </w:rPr>
        <w:t>.</w:t>
      </w:r>
    </w:p>
    <w:p w:rsidR="005B1B6C" w:rsidRPr="005B1B6C" w:rsidRDefault="005B1B6C" w:rsidP="005B1B6C">
      <w:pPr>
        <w:pStyle w:val="NoSpacing"/>
        <w:numPr>
          <w:ilvl w:val="0"/>
          <w:numId w:val="1"/>
        </w:numPr>
        <w:spacing w:line="360" w:lineRule="auto"/>
        <w:ind w:left="1134" w:hanging="425"/>
        <w:jc w:val="both"/>
        <w:rPr>
          <w:rFonts w:ascii="Verdana" w:hAnsi="Verdana"/>
          <w:b/>
          <w:color w:val="000000" w:themeColor="text1"/>
          <w:sz w:val="20"/>
          <w:szCs w:val="20"/>
        </w:rPr>
      </w:pPr>
      <w:r w:rsidRPr="005B1B6C">
        <w:rPr>
          <w:rFonts w:ascii="Verdana" w:hAnsi="Verdana"/>
          <w:b/>
          <w:color w:val="000000" w:themeColor="text1"/>
          <w:sz w:val="20"/>
          <w:szCs w:val="20"/>
        </w:rPr>
        <w:t>СРОК ЗА ИЗПЪЛНЕНИЕ</w:t>
      </w:r>
    </w:p>
    <w:p w:rsidR="005B1B6C" w:rsidRPr="005B1B6C" w:rsidRDefault="005B1B6C" w:rsidP="005B1B6C">
      <w:pPr>
        <w:pStyle w:val="NoSpacing"/>
        <w:spacing w:after="240" w:line="360" w:lineRule="auto"/>
        <w:ind w:firstLine="709"/>
        <w:jc w:val="both"/>
        <w:rPr>
          <w:rFonts w:ascii="Verdana" w:hAnsi="Verdana"/>
          <w:color w:val="000000" w:themeColor="text1"/>
          <w:sz w:val="20"/>
          <w:szCs w:val="20"/>
        </w:rPr>
      </w:pPr>
      <w:r w:rsidRPr="005B1B6C">
        <w:rPr>
          <w:rFonts w:ascii="Verdana" w:hAnsi="Verdana"/>
          <w:color w:val="000000" w:themeColor="text1"/>
          <w:sz w:val="20"/>
          <w:szCs w:val="20"/>
        </w:rPr>
        <w:t xml:space="preserve">Срокът за изпълнение на поръчката е </w:t>
      </w:r>
      <w:r w:rsidR="004610DE">
        <w:rPr>
          <w:rFonts w:ascii="Verdana" w:hAnsi="Verdana"/>
          <w:color w:val="000000" w:themeColor="text1"/>
          <w:sz w:val="20"/>
          <w:szCs w:val="20"/>
        </w:rPr>
        <w:t xml:space="preserve">до </w:t>
      </w:r>
      <w:r w:rsidRPr="005B1B6C">
        <w:rPr>
          <w:rFonts w:ascii="Verdana" w:hAnsi="Verdana"/>
          <w:color w:val="000000" w:themeColor="text1"/>
          <w:sz w:val="20"/>
          <w:szCs w:val="20"/>
        </w:rPr>
        <w:t xml:space="preserve">3 (три) месеца, считано от </w:t>
      </w:r>
      <w:r w:rsidR="00B8261F">
        <w:rPr>
          <w:rFonts w:ascii="Verdana" w:hAnsi="Verdana"/>
          <w:color w:val="000000" w:themeColor="text1"/>
          <w:sz w:val="20"/>
          <w:szCs w:val="20"/>
        </w:rPr>
        <w:t xml:space="preserve">подписване </w:t>
      </w:r>
      <w:r w:rsidRPr="005B1B6C">
        <w:rPr>
          <w:rFonts w:ascii="Verdana" w:hAnsi="Verdana"/>
          <w:color w:val="000000" w:themeColor="text1"/>
          <w:sz w:val="20"/>
          <w:szCs w:val="20"/>
        </w:rPr>
        <w:t xml:space="preserve">на договора за възлагане на обществена поръчка (неразделна част от документацията за обществената поръчка). </w:t>
      </w:r>
    </w:p>
    <w:p w:rsidR="005B1B6C" w:rsidRPr="005B1B6C" w:rsidRDefault="005B1B6C" w:rsidP="005B1B6C">
      <w:pPr>
        <w:spacing w:after="0" w:line="360" w:lineRule="auto"/>
        <w:ind w:firstLine="708"/>
        <w:jc w:val="both"/>
        <w:rPr>
          <w:rFonts w:ascii="Verdana" w:eastAsia="Calibri" w:hAnsi="Verdana" w:cs="Times New Roman"/>
          <w:b/>
          <w:color w:val="000000"/>
          <w:sz w:val="20"/>
          <w:szCs w:val="20"/>
        </w:rPr>
      </w:pPr>
      <w:r w:rsidRPr="005B1B6C">
        <w:rPr>
          <w:rFonts w:ascii="Verdana" w:eastAsia="Calibri" w:hAnsi="Verdana" w:cs="Times New Roman"/>
          <w:b/>
          <w:color w:val="000000"/>
          <w:sz w:val="20"/>
          <w:szCs w:val="20"/>
        </w:rPr>
        <w:t>VІІІ. ПРЕДСТАВЯНЕ НА РЕЗУЛТАТИТЕ ОТ ИЗПЪЛНЕНИЕТО НА ПОРЪЧКАТА</w:t>
      </w:r>
    </w:p>
    <w:p w:rsidR="005B1B6C" w:rsidRPr="005B1B6C" w:rsidRDefault="005B1B6C" w:rsidP="005B1B6C">
      <w:pPr>
        <w:spacing w:after="0" w:line="360" w:lineRule="auto"/>
        <w:ind w:firstLine="709"/>
        <w:jc w:val="both"/>
        <w:rPr>
          <w:rFonts w:ascii="Verdana" w:eastAsia="Calibri" w:hAnsi="Verdana" w:cs="Times New Roman"/>
          <w:color w:val="000000"/>
          <w:sz w:val="20"/>
          <w:szCs w:val="20"/>
        </w:rPr>
      </w:pPr>
    </w:p>
    <w:p w:rsidR="005B1B6C" w:rsidRPr="005B1B6C" w:rsidRDefault="005B1B6C" w:rsidP="005B1B6C">
      <w:pPr>
        <w:spacing w:after="0" w:line="360" w:lineRule="auto"/>
        <w:ind w:firstLine="709"/>
        <w:jc w:val="both"/>
        <w:rPr>
          <w:rFonts w:ascii="Verdana" w:eastAsia="Calibri" w:hAnsi="Verdana" w:cs="Times New Roman"/>
          <w:color w:val="000000"/>
          <w:sz w:val="20"/>
          <w:szCs w:val="20"/>
        </w:rPr>
      </w:pPr>
      <w:r w:rsidRPr="005B1B6C">
        <w:rPr>
          <w:rFonts w:ascii="Verdana" w:eastAsia="Calibri" w:hAnsi="Verdana" w:cs="Times New Roman"/>
          <w:color w:val="000000"/>
          <w:sz w:val="20"/>
          <w:szCs w:val="20"/>
        </w:rPr>
        <w:t>Резултатите от изпълнението на поръчката се представят на Възложителя на хартиен и цифров носител /в 3 оригинални екземпляра на хартиен носит</w:t>
      </w:r>
      <w:r w:rsidR="00F93789">
        <w:rPr>
          <w:rFonts w:ascii="Verdana" w:eastAsia="Calibri" w:hAnsi="Verdana" w:cs="Times New Roman"/>
          <w:color w:val="000000"/>
          <w:sz w:val="20"/>
          <w:szCs w:val="20"/>
        </w:rPr>
        <w:t xml:space="preserve">ел и записани на 3 бр. магнитен или </w:t>
      </w:r>
      <w:r w:rsidRPr="005B1B6C">
        <w:rPr>
          <w:rFonts w:ascii="Verdana" w:eastAsia="Calibri" w:hAnsi="Verdana" w:cs="Times New Roman"/>
          <w:color w:val="000000"/>
          <w:sz w:val="20"/>
          <w:szCs w:val="20"/>
        </w:rPr>
        <w:t>цифров носител/.</w:t>
      </w:r>
    </w:p>
    <w:p w:rsidR="005B1B6C" w:rsidRPr="005B1B6C" w:rsidRDefault="005B1B6C" w:rsidP="005B1B6C">
      <w:pPr>
        <w:spacing w:after="0" w:line="360" w:lineRule="auto"/>
        <w:ind w:firstLine="709"/>
        <w:jc w:val="both"/>
        <w:rPr>
          <w:rFonts w:ascii="Verdana" w:eastAsia="Calibri" w:hAnsi="Verdana" w:cs="Times New Roman"/>
          <w:color w:val="000000"/>
          <w:sz w:val="20"/>
          <w:szCs w:val="20"/>
        </w:rPr>
      </w:pPr>
      <w:r w:rsidRPr="005B1B6C">
        <w:rPr>
          <w:rFonts w:ascii="Verdana" w:eastAsia="Calibri" w:hAnsi="Verdana" w:cs="Times New Roman"/>
          <w:color w:val="000000"/>
          <w:sz w:val="20"/>
          <w:szCs w:val="20"/>
        </w:rPr>
        <w:t>Изпълнението на обществената поръчка се приема от Възложителя, съгласно условията и реда, посочени в проекта на договор за възлагане на обществена поръчка (неразделна част от документацията за обществената поръчка).</w:t>
      </w:r>
    </w:p>
    <w:p w:rsidR="00F93789" w:rsidRDefault="00F93789" w:rsidP="00F93789">
      <w:pPr>
        <w:spacing w:after="0" w:line="360" w:lineRule="auto"/>
        <w:ind w:left="20" w:hanging="20"/>
        <w:jc w:val="both"/>
        <w:rPr>
          <w:rFonts w:ascii="Verdana" w:eastAsia="Arial Unicode MS" w:hAnsi="Verdana" w:cs="Arial Unicode MS"/>
          <w:sz w:val="16"/>
          <w:szCs w:val="16"/>
          <w:lang w:eastAsia="bg-BG" w:bidi="bg-BG"/>
        </w:rPr>
      </w:pPr>
    </w:p>
    <w:p w:rsidR="00F93789" w:rsidRDefault="00F93789" w:rsidP="00F93789">
      <w:pPr>
        <w:spacing w:after="0" w:line="360" w:lineRule="auto"/>
        <w:ind w:left="20" w:hanging="20"/>
        <w:jc w:val="both"/>
        <w:rPr>
          <w:rFonts w:ascii="Verdana" w:eastAsia="Arial Unicode MS" w:hAnsi="Verdana" w:cs="Arial Unicode MS"/>
          <w:sz w:val="16"/>
          <w:szCs w:val="16"/>
          <w:lang w:eastAsia="bg-BG" w:bidi="bg-BG"/>
        </w:rPr>
      </w:pPr>
    </w:p>
    <w:p w:rsidR="005B1B6C" w:rsidRPr="005B1B6C" w:rsidRDefault="005B1B6C" w:rsidP="005B1B6C">
      <w:pPr>
        <w:pStyle w:val="ListParagraph"/>
        <w:spacing w:after="240" w:line="360" w:lineRule="auto"/>
        <w:ind w:left="709"/>
        <w:jc w:val="both"/>
        <w:rPr>
          <w:rFonts w:ascii="Verdana" w:hAnsi="Verdana"/>
          <w:color w:val="000000" w:themeColor="text1"/>
          <w:sz w:val="20"/>
          <w:szCs w:val="20"/>
        </w:rPr>
      </w:pPr>
      <w:bookmarkStart w:id="0" w:name="_GoBack"/>
      <w:bookmarkEnd w:id="0"/>
    </w:p>
    <w:p w:rsidR="005B1B6C" w:rsidRPr="0042474E" w:rsidRDefault="005B1B6C" w:rsidP="005B1B6C">
      <w:pPr>
        <w:pStyle w:val="NoSpacing"/>
        <w:spacing w:line="360" w:lineRule="auto"/>
        <w:ind w:left="709"/>
        <w:jc w:val="both"/>
        <w:rPr>
          <w:rFonts w:ascii="Verdana" w:hAnsi="Verdana"/>
          <w:sz w:val="20"/>
          <w:szCs w:val="20"/>
        </w:rPr>
      </w:pPr>
    </w:p>
    <w:sectPr w:rsidR="005B1B6C" w:rsidRPr="0042474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C66B35"/>
    <w:multiLevelType w:val="hybridMultilevel"/>
    <w:tmpl w:val="2A624530"/>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
    <w:nsid w:val="5ED02B3B"/>
    <w:multiLevelType w:val="hybridMultilevel"/>
    <w:tmpl w:val="3A288310"/>
    <w:lvl w:ilvl="0" w:tplc="76E81C3E">
      <w:start w:val="1"/>
      <w:numFmt w:val="upperRoman"/>
      <w:lvlText w:val="%1."/>
      <w:lvlJc w:val="left"/>
      <w:pPr>
        <w:ind w:left="2505" w:hanging="720"/>
      </w:pPr>
      <w:rPr>
        <w:rFonts w:hint="default"/>
        <w:strike w:val="0"/>
      </w:rPr>
    </w:lvl>
    <w:lvl w:ilvl="1" w:tplc="04020019" w:tentative="1">
      <w:start w:val="1"/>
      <w:numFmt w:val="lowerLetter"/>
      <w:lvlText w:val="%2."/>
      <w:lvlJc w:val="left"/>
      <w:pPr>
        <w:ind w:left="2145" w:hanging="360"/>
      </w:pPr>
    </w:lvl>
    <w:lvl w:ilvl="2" w:tplc="0402001B" w:tentative="1">
      <w:start w:val="1"/>
      <w:numFmt w:val="lowerRoman"/>
      <w:lvlText w:val="%3."/>
      <w:lvlJc w:val="right"/>
      <w:pPr>
        <w:ind w:left="2865" w:hanging="180"/>
      </w:pPr>
    </w:lvl>
    <w:lvl w:ilvl="3" w:tplc="0402000F" w:tentative="1">
      <w:start w:val="1"/>
      <w:numFmt w:val="decimal"/>
      <w:lvlText w:val="%4."/>
      <w:lvlJc w:val="left"/>
      <w:pPr>
        <w:ind w:left="3585" w:hanging="360"/>
      </w:pPr>
    </w:lvl>
    <w:lvl w:ilvl="4" w:tplc="04020019" w:tentative="1">
      <w:start w:val="1"/>
      <w:numFmt w:val="lowerLetter"/>
      <w:lvlText w:val="%5."/>
      <w:lvlJc w:val="left"/>
      <w:pPr>
        <w:ind w:left="4305" w:hanging="360"/>
      </w:pPr>
    </w:lvl>
    <w:lvl w:ilvl="5" w:tplc="0402001B" w:tentative="1">
      <w:start w:val="1"/>
      <w:numFmt w:val="lowerRoman"/>
      <w:lvlText w:val="%6."/>
      <w:lvlJc w:val="right"/>
      <w:pPr>
        <w:ind w:left="5025" w:hanging="180"/>
      </w:pPr>
    </w:lvl>
    <w:lvl w:ilvl="6" w:tplc="0402000F" w:tentative="1">
      <w:start w:val="1"/>
      <w:numFmt w:val="decimal"/>
      <w:lvlText w:val="%7."/>
      <w:lvlJc w:val="left"/>
      <w:pPr>
        <w:ind w:left="5745" w:hanging="360"/>
      </w:pPr>
    </w:lvl>
    <w:lvl w:ilvl="7" w:tplc="04020019" w:tentative="1">
      <w:start w:val="1"/>
      <w:numFmt w:val="lowerLetter"/>
      <w:lvlText w:val="%8."/>
      <w:lvlJc w:val="left"/>
      <w:pPr>
        <w:ind w:left="6465" w:hanging="360"/>
      </w:pPr>
    </w:lvl>
    <w:lvl w:ilvl="8" w:tplc="0402001B" w:tentative="1">
      <w:start w:val="1"/>
      <w:numFmt w:val="lowerRoman"/>
      <w:lvlText w:val="%9."/>
      <w:lvlJc w:val="right"/>
      <w:pPr>
        <w:ind w:left="7185" w:hanging="180"/>
      </w:pPr>
    </w:lvl>
  </w:abstractNum>
  <w:abstractNum w:abstractNumId="2">
    <w:nsid w:val="626E62D7"/>
    <w:multiLevelType w:val="hybridMultilevel"/>
    <w:tmpl w:val="9C68D9B6"/>
    <w:lvl w:ilvl="0" w:tplc="BFE693D0">
      <w:start w:val="1"/>
      <w:numFmt w:val="decimal"/>
      <w:lvlText w:val="%1."/>
      <w:lvlJc w:val="left"/>
      <w:pPr>
        <w:ind w:left="1068" w:hanging="360"/>
      </w:pPr>
      <w:rPr>
        <w:rFonts w:hint="default"/>
        <w:b/>
        <w:i w:val="0"/>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2A44"/>
    <w:rsid w:val="00093373"/>
    <w:rsid w:val="000D5AD1"/>
    <w:rsid w:val="000F627C"/>
    <w:rsid w:val="00306964"/>
    <w:rsid w:val="00312A9A"/>
    <w:rsid w:val="00317072"/>
    <w:rsid w:val="003225CF"/>
    <w:rsid w:val="0042474E"/>
    <w:rsid w:val="004610DE"/>
    <w:rsid w:val="005B1B6C"/>
    <w:rsid w:val="006C2A44"/>
    <w:rsid w:val="008900E1"/>
    <w:rsid w:val="00926DAF"/>
    <w:rsid w:val="00945D8F"/>
    <w:rsid w:val="00A5431A"/>
    <w:rsid w:val="00B8261F"/>
    <w:rsid w:val="00CC6069"/>
    <w:rsid w:val="00E01EA5"/>
    <w:rsid w:val="00E22DD7"/>
    <w:rsid w:val="00F567A6"/>
    <w:rsid w:val="00F67B4C"/>
    <w:rsid w:val="00F9378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474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C2A44"/>
    <w:pPr>
      <w:spacing w:after="0" w:line="240" w:lineRule="auto"/>
    </w:pPr>
  </w:style>
  <w:style w:type="paragraph" w:styleId="ListParagraph">
    <w:name w:val="List Paragraph"/>
    <w:basedOn w:val="Normal"/>
    <w:uiPriority w:val="34"/>
    <w:qFormat/>
    <w:rsid w:val="005B1B6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474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C2A44"/>
    <w:pPr>
      <w:spacing w:after="0" w:line="240" w:lineRule="auto"/>
    </w:pPr>
  </w:style>
  <w:style w:type="paragraph" w:styleId="ListParagraph">
    <w:name w:val="List Paragraph"/>
    <w:basedOn w:val="Normal"/>
    <w:uiPriority w:val="34"/>
    <w:qFormat/>
    <w:rsid w:val="005B1B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1915</Words>
  <Characters>10921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cho</dc:creator>
  <cp:lastModifiedBy>MEET</cp:lastModifiedBy>
  <cp:revision>3</cp:revision>
  <cp:lastPrinted>2017-03-10T07:44:00Z</cp:lastPrinted>
  <dcterms:created xsi:type="dcterms:W3CDTF">2017-05-11T12:48:00Z</dcterms:created>
  <dcterms:modified xsi:type="dcterms:W3CDTF">2017-11-08T09:12:00Z</dcterms:modified>
</cp:coreProperties>
</file>